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0A093" w14:textId="77777777" w:rsidR="00F3442A" w:rsidRPr="00006360" w:rsidRDefault="00E8180F" w:rsidP="0074486B">
      <w:r w:rsidRPr="00006360">
        <w:t>Preâmbulo</w:t>
      </w:r>
    </w:p>
    <w:p w14:paraId="6C4CF8C6" w14:textId="77777777" w:rsidR="00F3442A" w:rsidRPr="00006360" w:rsidRDefault="00F3442A" w:rsidP="0074486B"/>
    <w:p w14:paraId="2F406B97" w14:textId="59272201" w:rsidR="00EA20C6" w:rsidRPr="00006360" w:rsidRDefault="00E8180F" w:rsidP="0074486B">
      <w:r w:rsidRPr="00006360">
        <w:t xml:space="preserve">Os plásticos tornam as nossas vidas mais fáceis de várias formas e são frequentemente mais leves ou menos dispendiosos do que </w:t>
      </w:r>
      <w:r w:rsidR="00EA20C6" w:rsidRPr="00006360">
        <w:t xml:space="preserve">outros </w:t>
      </w:r>
      <w:r w:rsidRPr="00006360">
        <w:t>materiais alternativos</w:t>
      </w:r>
      <w:r w:rsidR="00EA20C6" w:rsidRPr="00006360">
        <w:t>, considerando apenas o custo de produção</w:t>
      </w:r>
      <w:r w:rsidRPr="00006360">
        <w:t xml:space="preserve">. </w:t>
      </w:r>
      <w:r w:rsidR="00EA20C6" w:rsidRPr="00006360">
        <w:t>Porém, esta vantagem, associada a outras dinâmicas do mercado, tem como efeito o uso excessivo de plástico e a promoção de uma cultura de descartabilidade.</w:t>
      </w:r>
    </w:p>
    <w:p w14:paraId="2E628EFC" w14:textId="76705B00" w:rsidR="00F3442A" w:rsidRPr="00006360" w:rsidRDefault="00EA20C6" w:rsidP="0074486B">
      <w:r w:rsidRPr="00006360">
        <w:t>Sucede que</w:t>
      </w:r>
      <w:r w:rsidR="00E8180F" w:rsidRPr="00006360">
        <w:t xml:space="preserve"> se não forem </w:t>
      </w:r>
      <w:r w:rsidR="00A54130" w:rsidRPr="00006360">
        <w:t xml:space="preserve">eliminados </w:t>
      </w:r>
      <w:r w:rsidR="00E8180F" w:rsidRPr="00006360">
        <w:t xml:space="preserve">ou reciclados adequadamente, </w:t>
      </w:r>
      <w:r w:rsidRPr="00006360">
        <w:t xml:space="preserve">os plásticos </w:t>
      </w:r>
      <w:r w:rsidR="00E8180F" w:rsidRPr="00006360">
        <w:t>podem terminar no meio ambiente, onde permanecem durante séculos, degradando-se em pedaços cada vez menores. Estes pequenos pedaços</w:t>
      </w:r>
      <w:r w:rsidR="00A54130" w:rsidRPr="00006360">
        <w:t>,</w:t>
      </w:r>
      <w:r w:rsidR="00E8180F" w:rsidRPr="00006360">
        <w:t xml:space="preserve"> </w:t>
      </w:r>
      <w:r w:rsidR="00A54130" w:rsidRPr="00006360">
        <w:t xml:space="preserve">quando </w:t>
      </w:r>
      <w:r w:rsidR="00E8180F" w:rsidRPr="00006360">
        <w:t>inferiores a 5 mm</w:t>
      </w:r>
      <w:r w:rsidR="005A173F" w:rsidRPr="00006360">
        <w:t>,</w:t>
      </w:r>
      <w:r w:rsidR="00E8180F" w:rsidRPr="00006360">
        <w:t xml:space="preserve"> denominam-se </w:t>
      </w:r>
      <w:r w:rsidR="00E8180F" w:rsidRPr="00006360">
        <w:rPr>
          <w:rStyle w:val="Forte"/>
          <w:b w:val="0"/>
          <w:bCs w:val="0"/>
        </w:rPr>
        <w:t>«microplásticos»</w:t>
      </w:r>
      <w:r w:rsidR="00E8180F" w:rsidRPr="00006360">
        <w:t> e suscitam preocupação</w:t>
      </w:r>
      <w:r w:rsidR="00A54130" w:rsidRPr="00006360">
        <w:t xml:space="preserve"> devido à sua elevada persistência e potencial de acumulação no meio ambiente</w:t>
      </w:r>
      <w:r w:rsidR="00E8180F" w:rsidRPr="00006360">
        <w:t>.</w:t>
      </w:r>
    </w:p>
    <w:p w14:paraId="1EB99D83" w14:textId="60DBC92C" w:rsidR="00F3442A" w:rsidRPr="00006360" w:rsidRDefault="00E8180F" w:rsidP="0074486B">
      <w:r w:rsidRPr="00006360">
        <w:t>Os microplásticos são partículas sólidas compostas por misturas de polímeros e aditivos funcionais. Os microplásticos podem ser </w:t>
      </w:r>
      <w:r w:rsidRPr="00006360">
        <w:rPr>
          <w:rStyle w:val="Forte"/>
          <w:b w:val="0"/>
          <w:bCs w:val="0"/>
        </w:rPr>
        <w:t>formados não intencionalmente</w:t>
      </w:r>
      <w:r w:rsidRPr="00006360">
        <w:t> devido</w:t>
      </w:r>
      <w:r w:rsidR="00D80392" w:rsidRPr="00006360">
        <w:t>, por exemplo,</w:t>
      </w:r>
      <w:r w:rsidRPr="00006360">
        <w:t xml:space="preserve"> </w:t>
      </w:r>
      <w:r w:rsidR="00A54130" w:rsidRPr="00006360">
        <w:t>à oxidação dos materiais poliméricos usados em artigos</w:t>
      </w:r>
      <w:r w:rsidRPr="00006360">
        <w:t xml:space="preserve"> de plástico, pneus ou têxteis sintéticos. No entanto, também são </w:t>
      </w:r>
      <w:r w:rsidRPr="00006360">
        <w:rPr>
          <w:rStyle w:val="Forte"/>
          <w:b w:val="0"/>
          <w:bCs w:val="0"/>
        </w:rPr>
        <w:t>fabricados intencionalmente</w:t>
      </w:r>
      <w:r w:rsidRPr="00006360">
        <w:rPr>
          <w:b/>
        </w:rPr>
        <w:t> </w:t>
      </w:r>
      <w:r w:rsidRPr="00006360">
        <w:rPr>
          <w:rStyle w:val="Forte"/>
          <w:b w:val="0"/>
          <w:bCs w:val="0"/>
        </w:rPr>
        <w:t>e adicionados</w:t>
      </w:r>
      <w:r w:rsidRPr="00006360">
        <w:t xml:space="preserve"> a produtos para fins específicos, como </w:t>
      </w:r>
      <w:r w:rsidR="0054554D" w:rsidRPr="00006360">
        <w:t>micro</w:t>
      </w:r>
      <w:r w:rsidRPr="00006360">
        <w:t>esferas de esfoliação em esfoliantes faciais ou corporais.</w:t>
      </w:r>
    </w:p>
    <w:p w14:paraId="2E262D6B" w14:textId="17837B55" w:rsidR="00F3442A" w:rsidRPr="008F4FB8" w:rsidRDefault="00E8180F" w:rsidP="008F4FB8">
      <w:r w:rsidRPr="008F4FB8">
        <w:t>Motivados por preocupações com o ambiente e a saúde, vários Estados-Membros da U</w:t>
      </w:r>
      <w:r w:rsidR="00704C6E" w:rsidRPr="008F4FB8">
        <w:t xml:space="preserve">nião </w:t>
      </w:r>
      <w:r w:rsidRPr="008F4FB8">
        <w:t>E</w:t>
      </w:r>
      <w:r w:rsidR="00704C6E" w:rsidRPr="008F4FB8">
        <w:t>u</w:t>
      </w:r>
      <w:r w:rsidR="0054554D" w:rsidRPr="008F4FB8">
        <w:t>ropeia</w:t>
      </w:r>
      <w:r w:rsidRPr="008F4FB8">
        <w:t xml:space="preserve"> já adotaram ou propuseram proibições nacionais sobre utilizações intencionais de microplásticos em produtos de consumo. As proibições referem-se principalmente ao uso de microesferas em cosméticos</w:t>
      </w:r>
      <w:r w:rsidR="0054554D" w:rsidRPr="008F4FB8">
        <w:t>,</w:t>
      </w:r>
      <w:r w:rsidRPr="008F4FB8">
        <w:t xml:space="preserve"> que são retirad</w:t>
      </w:r>
      <w:r w:rsidR="006438D2" w:rsidRPr="008F4FB8">
        <w:t>o</w:t>
      </w:r>
      <w:r w:rsidRPr="008F4FB8">
        <w:t>s com água após o uso, nos quais são usad</w:t>
      </w:r>
      <w:r w:rsidR="00D80392" w:rsidRPr="008F4FB8">
        <w:t>a</w:t>
      </w:r>
      <w:r w:rsidRPr="008F4FB8">
        <w:t>s como agentes abrasivos e de polimento.</w:t>
      </w:r>
    </w:p>
    <w:p w14:paraId="6449E11D" w14:textId="6BEC7738" w:rsidR="00F3442A" w:rsidRPr="00006360" w:rsidRDefault="00EA20C6" w:rsidP="0074486B">
      <w:r w:rsidRPr="00006360">
        <w:t>Sem prejuízo</w:t>
      </w:r>
      <w:r w:rsidR="00E8180F" w:rsidRPr="00006360">
        <w:t xml:space="preserve"> </w:t>
      </w:r>
      <w:r w:rsidRPr="00006360">
        <w:t>d</w:t>
      </w:r>
      <w:r w:rsidR="00E8180F" w:rsidRPr="00006360">
        <w:t>a legislação nacional aplicável em vários E</w:t>
      </w:r>
      <w:r w:rsidRPr="00006360">
        <w:t>stados-</w:t>
      </w:r>
      <w:r w:rsidR="00E8180F" w:rsidRPr="00006360">
        <w:t>M</w:t>
      </w:r>
      <w:r w:rsidRPr="00006360">
        <w:t>embros</w:t>
      </w:r>
      <w:r w:rsidR="00E8180F" w:rsidRPr="00006360">
        <w:t>, encontra-se em desenvolvimento um projeto de restrição de microplásticos ao nível da U</w:t>
      </w:r>
      <w:r w:rsidRPr="00006360">
        <w:t xml:space="preserve">nião </w:t>
      </w:r>
      <w:r w:rsidR="00E8180F" w:rsidRPr="00006360">
        <w:t>E</w:t>
      </w:r>
      <w:r w:rsidRPr="00006360">
        <w:t>uropeia</w:t>
      </w:r>
      <w:r w:rsidR="00E8180F" w:rsidRPr="00006360">
        <w:t xml:space="preserve">, no âmbito do </w:t>
      </w:r>
      <w:r w:rsidRPr="00006360">
        <w:t xml:space="preserve">Regulamento (CE) n.º 1907/2006 do Parlamento Europeu e do Conselho, de 18 de </w:t>
      </w:r>
      <w:r w:rsidR="006438D2" w:rsidRPr="00006360">
        <w:t>d</w:t>
      </w:r>
      <w:r w:rsidRPr="00006360">
        <w:t xml:space="preserve">ezembro de 2006, relativo ao registo, avaliação, autorização e restrição </w:t>
      </w:r>
      <w:r w:rsidR="006438D2" w:rsidRPr="00006360">
        <w:t>dos produtos químicos</w:t>
      </w:r>
      <w:r w:rsidRPr="00006360">
        <w:t xml:space="preserve"> (Regulamento </w:t>
      </w:r>
      <w:r w:rsidR="00E8180F" w:rsidRPr="00006360">
        <w:t>REACH</w:t>
      </w:r>
      <w:r w:rsidRPr="00006360">
        <w:t>)</w:t>
      </w:r>
      <w:r w:rsidR="00E8180F" w:rsidRPr="00006360">
        <w:t xml:space="preserve">, </w:t>
      </w:r>
      <w:r w:rsidRPr="00006360">
        <w:t xml:space="preserve">com um âmbito mais alargado do que o visado no </w:t>
      </w:r>
      <w:r w:rsidRPr="00006360">
        <w:lastRenderedPageBreak/>
        <w:t>presente diploma</w:t>
      </w:r>
      <w:r w:rsidR="00E8180F" w:rsidRPr="00006360">
        <w:t>.</w:t>
      </w:r>
    </w:p>
    <w:p w14:paraId="61239819" w14:textId="3AEFBF48" w:rsidR="00814203" w:rsidRPr="008F4FB8" w:rsidRDefault="00BF7812" w:rsidP="0074486B">
      <w:pPr>
        <w:rPr>
          <w:iCs/>
        </w:rPr>
      </w:pPr>
      <w:r w:rsidRPr="008F4FB8">
        <w:t>E</w:t>
      </w:r>
      <w:r w:rsidR="00E8180F" w:rsidRPr="008F4FB8">
        <w:t>m 2017</w:t>
      </w:r>
      <w:r w:rsidRPr="008F4FB8">
        <w:t>,</w:t>
      </w:r>
      <w:r w:rsidR="00E8180F" w:rsidRPr="008F4FB8">
        <w:t xml:space="preserve"> a Comissão Europeia solicitou à </w:t>
      </w:r>
      <w:r w:rsidR="00E8180F" w:rsidRPr="008F4FB8">
        <w:rPr>
          <w:iCs/>
        </w:rPr>
        <w:t xml:space="preserve">Agência Europeia dos </w:t>
      </w:r>
      <w:r w:rsidR="006438D2" w:rsidRPr="008F4FB8">
        <w:rPr>
          <w:iCs/>
        </w:rPr>
        <w:t xml:space="preserve">Produtos </w:t>
      </w:r>
      <w:r w:rsidR="00E8180F" w:rsidRPr="008F4FB8">
        <w:rPr>
          <w:iCs/>
        </w:rPr>
        <w:t xml:space="preserve">Químicos (ECHA) </w:t>
      </w:r>
      <w:r w:rsidR="00E8180F" w:rsidRPr="008F4FB8">
        <w:t xml:space="preserve">que avaliasse as provas científicas para a adoção de medidas regulamentares a nível da União Europeia sobre os microplásticos que são adicionados intencionalmente a produtos, tendo a </w:t>
      </w:r>
      <w:r w:rsidR="00E8180F" w:rsidRPr="008F4FB8">
        <w:rPr>
          <w:iCs/>
        </w:rPr>
        <w:t>ECHA proposto</w:t>
      </w:r>
      <w:r w:rsidR="00814203" w:rsidRPr="008F4FB8">
        <w:rPr>
          <w:iCs/>
        </w:rPr>
        <w:t>,</w:t>
      </w:r>
      <w:r w:rsidR="00E8180F" w:rsidRPr="008F4FB8">
        <w:rPr>
          <w:iCs/>
        </w:rPr>
        <w:t xml:space="preserve"> </w:t>
      </w:r>
      <w:r w:rsidR="00814203" w:rsidRPr="008F4FB8">
        <w:rPr>
          <w:iCs/>
        </w:rPr>
        <w:t xml:space="preserve">em janeiro de 2019, </w:t>
      </w:r>
      <w:r w:rsidR="00E8180F" w:rsidRPr="008F4FB8">
        <w:rPr>
          <w:iCs/>
        </w:rPr>
        <w:t xml:space="preserve">uma restrição abrangente dos microplásticos em produtos comercializados na União Europeia, para evitar ou reduzir a sua libertação para o ambiente. </w:t>
      </w:r>
    </w:p>
    <w:p w14:paraId="22ED419D" w14:textId="69A685EB" w:rsidR="00814203" w:rsidRPr="008F4FB8" w:rsidRDefault="00814203" w:rsidP="0074486B">
      <w:r w:rsidRPr="008F4FB8">
        <w:t>A avaliação realizada pela ECHA concluiu que para alguns usos de microplásticos já existem alternativas no mercado, nomeadamente para microesferas com funções esfoliantes e de limpeza utilizadas em cosméticos enxaguáveis</w:t>
      </w:r>
      <w:r w:rsidR="00D80392" w:rsidRPr="008F4FB8">
        <w:t xml:space="preserve"> com água</w:t>
      </w:r>
      <w:r w:rsidRPr="008F4FB8">
        <w:t>.</w:t>
      </w:r>
    </w:p>
    <w:p w14:paraId="25269A95" w14:textId="38FF5B8E" w:rsidR="00F3442A" w:rsidRPr="008F4FB8" w:rsidRDefault="00E8180F" w:rsidP="0074486B">
      <w:pPr>
        <w:rPr>
          <w:iCs/>
        </w:rPr>
      </w:pPr>
      <w:r w:rsidRPr="008F4FB8">
        <w:t>A Comissão Europeia deverá preparar a sua proposta legislativa de alteração da lista de substâncias sujeitas a restrições nos termos do Anexo XV</w:t>
      </w:r>
      <w:r w:rsidR="006438D2" w:rsidRPr="008F4FB8">
        <w:t>II</w:t>
      </w:r>
      <w:r w:rsidRPr="008F4FB8">
        <w:t xml:space="preserve"> do </w:t>
      </w:r>
      <w:r w:rsidRPr="008F4FB8">
        <w:rPr>
          <w:iCs/>
        </w:rPr>
        <w:t>Regulamento REACH</w:t>
      </w:r>
      <w:r w:rsidR="00BF7812" w:rsidRPr="008F4FB8">
        <w:rPr>
          <w:iCs/>
        </w:rPr>
        <w:t>,</w:t>
      </w:r>
      <w:r w:rsidRPr="008F4FB8">
        <w:rPr>
          <w:iCs/>
        </w:rPr>
        <w:t xml:space="preserve"> com base na proposta da ECHA e na opinião dos respetivos comités científicos.</w:t>
      </w:r>
    </w:p>
    <w:p w14:paraId="24AED4FB" w14:textId="77CE7ED8" w:rsidR="00927820" w:rsidRPr="008F4FB8" w:rsidRDefault="00927820" w:rsidP="0074486B">
      <w:r w:rsidRPr="008F4FB8">
        <w:t>O artigo 321.º da Lei n.º 75-B/2020, de 31 de dezembro, que aprova o Orçamento do Estado para 2021, constitui o Governo na obrigação de proibir a colocação no mercado de cosméticos, produtos de higiene pessoal, detergentes e produtos de limpeza que contenham microesferas de plástico, constituídas por partículas sintéticas com uma dimensão inferior a 5 mm, obrigação a que o presente diploma dá cumprimento</w:t>
      </w:r>
      <w:r w:rsidR="005D6D4F" w:rsidRPr="008F4FB8">
        <w:t>. No que se refere às categorias de produtos referidas, os conceitos de “produto cosmético” e de “detergente” constantes de atos normativos da União Europeia</w:t>
      </w:r>
      <w:r w:rsidR="00EF5296" w:rsidRPr="008F4FB8">
        <w:t xml:space="preserve"> abrangem, respetivamente, os </w:t>
      </w:r>
      <w:r w:rsidR="00442515" w:rsidRPr="008F4FB8">
        <w:t xml:space="preserve">vulgarmente designados produtos de higiene pessoal e produtos de limpeza, pelo que, </w:t>
      </w:r>
      <w:r w:rsidR="005D6D4F" w:rsidRPr="008F4FB8">
        <w:t>por razões de uniformidade</w:t>
      </w:r>
      <w:r w:rsidR="00442515" w:rsidRPr="008F4FB8">
        <w:t xml:space="preserve"> se remete exclusivamente para os primeiros</w:t>
      </w:r>
      <w:r w:rsidRPr="008F4FB8">
        <w:t>.</w:t>
      </w:r>
    </w:p>
    <w:p w14:paraId="3B669B8C" w14:textId="77777777" w:rsidR="00586237" w:rsidRPr="008F4FB8" w:rsidRDefault="00586237" w:rsidP="008F4FB8">
      <w:r w:rsidRPr="008F4FB8">
        <w:t>Constituem missões do Estado a promoção de padrões sustentáveis de produção e consumo e a proteção do ambiente, da saúde pública e dos trabalhadores.</w:t>
      </w:r>
    </w:p>
    <w:p w14:paraId="3E50E9BB" w14:textId="346C7BD6" w:rsidR="00F3442A" w:rsidRPr="008F4FB8" w:rsidRDefault="00E8180F" w:rsidP="008F4FB8">
      <w:r w:rsidRPr="008F4FB8">
        <w:t xml:space="preserve">O presente decreto-lei foi submetido a consulta pública entre </w:t>
      </w:r>
      <w:proofErr w:type="spellStart"/>
      <w:r w:rsidRPr="008F4FB8">
        <w:t>xxx</w:t>
      </w:r>
      <w:proofErr w:type="spellEnd"/>
      <w:r w:rsidRPr="008F4FB8">
        <w:t xml:space="preserve"> e </w:t>
      </w:r>
      <w:proofErr w:type="spellStart"/>
      <w:r w:rsidRPr="008F4FB8">
        <w:t>xxx</w:t>
      </w:r>
      <w:proofErr w:type="spellEnd"/>
      <w:r w:rsidRPr="008F4FB8">
        <w:t xml:space="preserve"> e submetido ao procedimento de informação no domínio das regulamentações técnicas e das regras relativas </w:t>
      </w:r>
      <w:r w:rsidRPr="008F4FB8">
        <w:lastRenderedPageBreak/>
        <w:t>aos serviços da sociedade de informação, previsto na Diretiva 2015/1535/</w:t>
      </w:r>
      <w:r w:rsidR="006438D2" w:rsidRPr="008F4FB8">
        <w:t>UE</w:t>
      </w:r>
      <w:r w:rsidRPr="008F4FB8">
        <w:t>, do Parlamento Europeu e do Conselho, de 9 de setembro de 2015.</w:t>
      </w:r>
    </w:p>
    <w:p w14:paraId="4123805A" w14:textId="67EDAA1A" w:rsidR="00F3442A" w:rsidRPr="008F4FB8" w:rsidRDefault="00E8180F" w:rsidP="0074486B">
      <w:pPr>
        <w:pStyle w:val="NormalWeb"/>
        <w:rPr>
          <w:rFonts w:ascii="Garamond" w:hAnsi="Garamond"/>
        </w:rPr>
      </w:pPr>
      <w:r w:rsidRPr="008F4FB8">
        <w:rPr>
          <w:rFonts w:ascii="Garamond" w:hAnsi="Garamond"/>
        </w:rPr>
        <w:t xml:space="preserve">Foram ouvidos os órgãos de governo próprio das Regiões Autónomas, </w:t>
      </w:r>
      <w:r w:rsidR="003A7739" w:rsidRPr="008F4FB8">
        <w:rPr>
          <w:rFonts w:ascii="Garamond" w:hAnsi="Garamond"/>
        </w:rPr>
        <w:t>…</w:t>
      </w:r>
    </w:p>
    <w:p w14:paraId="2C120D7B" w14:textId="77777777" w:rsidR="008E7F87" w:rsidRPr="00006360" w:rsidRDefault="008E7F87" w:rsidP="0074486B">
      <w:r w:rsidRPr="00006360">
        <w:t xml:space="preserve">Assim, nos termos da alínea </w:t>
      </w:r>
      <w:r w:rsidRPr="00006360">
        <w:rPr>
          <w:i/>
        </w:rPr>
        <w:t>a)</w:t>
      </w:r>
      <w:r w:rsidRPr="00006360">
        <w:t xml:space="preserve"> do n.º 1 do artigo 198.º da Constituição, o Governo decreta o seguinte:</w:t>
      </w:r>
    </w:p>
    <w:p w14:paraId="15C1DCD5" w14:textId="4E9BF3A5" w:rsidR="00F3442A" w:rsidRPr="00006360" w:rsidRDefault="004F08B1" w:rsidP="0074486B">
      <w:pPr>
        <w:pStyle w:val="Ttulo1"/>
      </w:pPr>
      <w:r w:rsidRPr="00006360">
        <w:br/>
      </w:r>
      <w:r w:rsidR="00E8180F" w:rsidRPr="00006360">
        <w:t>Objeto</w:t>
      </w:r>
    </w:p>
    <w:p w14:paraId="49419678" w14:textId="197BFC62" w:rsidR="00F3442A" w:rsidRPr="0074486B" w:rsidRDefault="00793018" w:rsidP="0074486B">
      <w:r w:rsidRPr="0074486B">
        <w:t xml:space="preserve">O presente </w:t>
      </w:r>
      <w:r w:rsidR="00E8180F" w:rsidRPr="0074486B">
        <w:t>diploma aplica-se a produtos cosméticos</w:t>
      </w:r>
      <w:r w:rsidR="00442515" w:rsidRPr="0074486B">
        <w:t xml:space="preserve"> e</w:t>
      </w:r>
      <w:r w:rsidR="00E8180F" w:rsidRPr="0074486B">
        <w:t xml:space="preserve"> </w:t>
      </w:r>
      <w:r w:rsidR="002B26EF" w:rsidRPr="0074486B">
        <w:t xml:space="preserve">a </w:t>
      </w:r>
      <w:r w:rsidR="00E8180F" w:rsidRPr="0074486B">
        <w:t>detergentes que con</w:t>
      </w:r>
      <w:r w:rsidR="002E5F14" w:rsidRPr="0074486B">
        <w:t>tenham microesferas de plástico</w:t>
      </w:r>
      <w:r w:rsidR="00E8180F" w:rsidRPr="0074486B">
        <w:t>.</w:t>
      </w:r>
    </w:p>
    <w:p w14:paraId="2EA5994F" w14:textId="77777777" w:rsidR="00F3442A" w:rsidRPr="00006360" w:rsidRDefault="00F3442A" w:rsidP="0074486B"/>
    <w:p w14:paraId="22C6D840" w14:textId="526135DB" w:rsidR="00F3442A" w:rsidRPr="00006360" w:rsidRDefault="004F08B1" w:rsidP="0074486B">
      <w:pPr>
        <w:pStyle w:val="Ttulo1"/>
      </w:pPr>
      <w:r w:rsidRPr="00006360">
        <w:br/>
      </w:r>
      <w:r w:rsidR="00E8180F" w:rsidRPr="00006360">
        <w:t>Definições</w:t>
      </w:r>
    </w:p>
    <w:p w14:paraId="4162DF93" w14:textId="3FB417B2" w:rsidR="00F3442A" w:rsidRPr="0074486B" w:rsidRDefault="00E8180F" w:rsidP="0074486B">
      <w:r w:rsidRPr="0074486B">
        <w:t>Para efeitos de aplicação do presente decreto-lei, entende-se por:</w:t>
      </w:r>
    </w:p>
    <w:p w14:paraId="0927D975" w14:textId="167548C8" w:rsidR="00F3442A" w:rsidRPr="00006360" w:rsidRDefault="00E8180F" w:rsidP="0074486B">
      <w:pPr>
        <w:pStyle w:val="PargrafodaLista"/>
        <w:numPr>
          <w:ilvl w:val="0"/>
          <w:numId w:val="3"/>
        </w:numPr>
        <w:ind w:left="284" w:firstLine="425"/>
      </w:pPr>
      <w:r w:rsidRPr="00006360">
        <w:rPr>
          <w:highlight w:val="white"/>
        </w:rPr>
        <w:t xml:space="preserve">«Colocação no mercado», a primeira </w:t>
      </w:r>
      <w:r w:rsidR="00347636" w:rsidRPr="00006360">
        <w:rPr>
          <w:highlight w:val="white"/>
        </w:rPr>
        <w:t>disponibilização</w:t>
      </w:r>
      <w:r w:rsidR="002B26EF" w:rsidRPr="00006360">
        <w:rPr>
          <w:highlight w:val="white"/>
        </w:rPr>
        <w:t xml:space="preserve"> d</w:t>
      </w:r>
      <w:r w:rsidR="00347636" w:rsidRPr="00006360">
        <w:rPr>
          <w:highlight w:val="white"/>
        </w:rPr>
        <w:t xml:space="preserve">e um produto </w:t>
      </w:r>
      <w:r w:rsidR="00441FBB" w:rsidRPr="00006360">
        <w:rPr>
          <w:highlight w:val="white"/>
        </w:rPr>
        <w:t>no mercado</w:t>
      </w:r>
      <w:r w:rsidRPr="00006360">
        <w:rPr>
          <w:highlight w:val="white"/>
        </w:rPr>
        <w:t>, em território nacional</w:t>
      </w:r>
      <w:r w:rsidR="00441FBB" w:rsidRPr="00006360">
        <w:rPr>
          <w:highlight w:val="white"/>
        </w:rPr>
        <w:t>, enquanto atividade profissional</w:t>
      </w:r>
      <w:r w:rsidR="002B26EF" w:rsidRPr="00006360">
        <w:rPr>
          <w:highlight w:val="white"/>
        </w:rPr>
        <w:t>;</w:t>
      </w:r>
      <w:r w:rsidRPr="00006360">
        <w:rPr>
          <w:highlight w:val="white"/>
        </w:rPr>
        <w:t xml:space="preserve"> </w:t>
      </w:r>
    </w:p>
    <w:p w14:paraId="58CE02D1" w14:textId="2C75E49E" w:rsidR="00F3442A" w:rsidRPr="0074486B" w:rsidRDefault="00E8180F" w:rsidP="0074486B">
      <w:pPr>
        <w:pStyle w:val="PargrafodaLista"/>
        <w:numPr>
          <w:ilvl w:val="0"/>
          <w:numId w:val="3"/>
        </w:numPr>
        <w:ind w:left="284" w:firstLine="425"/>
        <w:rPr>
          <w:highlight w:val="white"/>
        </w:rPr>
      </w:pPr>
      <w:r w:rsidRPr="0074486B">
        <w:rPr>
          <w:highlight w:val="white"/>
        </w:rPr>
        <w:t>“Detergente”</w:t>
      </w:r>
      <w:r w:rsidR="007E30D8" w:rsidRPr="0074486B">
        <w:rPr>
          <w:highlight w:val="white"/>
        </w:rPr>
        <w:t xml:space="preserve">, </w:t>
      </w:r>
      <w:r w:rsidRPr="0074486B">
        <w:rPr>
          <w:highlight w:val="white"/>
        </w:rPr>
        <w:t>um detergente na aceção do Regulamento (CE) n.º 648/2004 do Parlamento Europeu e do Conselho</w:t>
      </w:r>
      <w:r w:rsidR="0003023D" w:rsidRPr="0074486B">
        <w:rPr>
          <w:highlight w:val="white"/>
        </w:rPr>
        <w:t xml:space="preserve">, de 31 de março de 2004, </w:t>
      </w:r>
      <w:r w:rsidRPr="0074486B">
        <w:rPr>
          <w:highlight w:val="white"/>
        </w:rPr>
        <w:t>relativo aos detergentes</w:t>
      </w:r>
      <w:r w:rsidR="00442515" w:rsidRPr="0074486B">
        <w:rPr>
          <w:highlight w:val="white"/>
        </w:rPr>
        <w:t>, na sua redação atual</w:t>
      </w:r>
      <w:r w:rsidRPr="0074486B">
        <w:rPr>
          <w:highlight w:val="white"/>
        </w:rPr>
        <w:t>;</w:t>
      </w:r>
    </w:p>
    <w:p w14:paraId="1D364A13" w14:textId="044C69FA" w:rsidR="00441FBB" w:rsidRPr="0074486B" w:rsidRDefault="00441FBB" w:rsidP="0074486B">
      <w:pPr>
        <w:pStyle w:val="PargrafodaLista"/>
        <w:numPr>
          <w:ilvl w:val="0"/>
          <w:numId w:val="3"/>
        </w:numPr>
        <w:ind w:left="284" w:firstLine="425"/>
        <w:rPr>
          <w:highlight w:val="white"/>
        </w:rPr>
      </w:pPr>
      <w:r w:rsidRPr="0074486B">
        <w:rPr>
          <w:highlight w:val="white"/>
        </w:rPr>
        <w:t>«Disponibilização no mercado», a oferta de um produto para distribuição, consumo ou utilização no mercado, em território nacional, no âmbito de uma atividade comercial, a título oneroso ou gratuito;</w:t>
      </w:r>
    </w:p>
    <w:p w14:paraId="5A72039D" w14:textId="40D7970F" w:rsidR="00F3442A" w:rsidRPr="0074486B" w:rsidRDefault="00816786" w:rsidP="0074486B">
      <w:pPr>
        <w:pStyle w:val="PargrafodaLista"/>
        <w:numPr>
          <w:ilvl w:val="0"/>
          <w:numId w:val="3"/>
        </w:numPr>
        <w:ind w:left="284" w:firstLine="425"/>
        <w:rPr>
          <w:highlight w:val="white"/>
        </w:rPr>
      </w:pPr>
      <w:r w:rsidRPr="00006360">
        <w:rPr>
          <w:highlight w:val="white"/>
        </w:rPr>
        <w:t>«P</w:t>
      </w:r>
      <w:r w:rsidR="00E8180F" w:rsidRPr="00006360">
        <w:rPr>
          <w:highlight w:val="white"/>
        </w:rPr>
        <w:t>olímero</w:t>
      </w:r>
      <w:r w:rsidRPr="00006360">
        <w:rPr>
          <w:highlight w:val="white"/>
        </w:rPr>
        <w:t>»</w:t>
      </w:r>
      <w:r w:rsidR="00E8180F" w:rsidRPr="00006360">
        <w:rPr>
          <w:highlight w:val="white"/>
        </w:rPr>
        <w:t xml:space="preserve"> </w:t>
      </w:r>
      <w:r w:rsidRPr="00006360">
        <w:rPr>
          <w:highlight w:val="white"/>
        </w:rPr>
        <w:t xml:space="preserve">uma substância </w:t>
      </w:r>
      <w:r w:rsidR="00E8180F" w:rsidRPr="00006360">
        <w:rPr>
          <w:highlight w:val="white"/>
        </w:rPr>
        <w:t>na aceção do n.º 5 do artigo 3.º do </w:t>
      </w:r>
      <w:hyperlink r:id="rId7" w:tgtFrame="Link para Regulamento da União Europeia">
        <w:r w:rsidR="00E8180F" w:rsidRPr="00006360">
          <w:rPr>
            <w:highlight w:val="white"/>
          </w:rPr>
          <w:t>Regulamento (CE) n.º 1907/2006</w:t>
        </w:r>
      </w:hyperlink>
      <w:r w:rsidR="00E8180F" w:rsidRPr="00006360">
        <w:rPr>
          <w:highlight w:val="white"/>
        </w:rPr>
        <w:t>, do Parlamento Europeu e do Conselho, de 18 de dezembro de 2006</w:t>
      </w:r>
      <w:r w:rsidR="0003023D" w:rsidRPr="00006360">
        <w:rPr>
          <w:highlight w:val="white"/>
        </w:rPr>
        <w:t xml:space="preserve">, relativo ao registo, avaliação, autorização e restrição </w:t>
      </w:r>
      <w:r w:rsidR="006438D2" w:rsidRPr="00006360">
        <w:rPr>
          <w:highlight w:val="white"/>
        </w:rPr>
        <w:t xml:space="preserve">dos </w:t>
      </w:r>
      <w:r w:rsidR="0003023D" w:rsidRPr="00006360">
        <w:rPr>
          <w:highlight w:val="white"/>
        </w:rPr>
        <w:t>produtos químicos</w:t>
      </w:r>
      <w:r w:rsidR="00442515" w:rsidRPr="00006360">
        <w:rPr>
          <w:highlight w:val="white"/>
        </w:rPr>
        <w:t>, na sua redação atual</w:t>
      </w:r>
      <w:r w:rsidR="0003023D" w:rsidRPr="00006360">
        <w:rPr>
          <w:highlight w:val="white"/>
        </w:rPr>
        <w:t>;</w:t>
      </w:r>
      <w:r w:rsidR="00E8180F" w:rsidRPr="00006360">
        <w:rPr>
          <w:highlight w:val="white"/>
        </w:rPr>
        <w:t xml:space="preserve">  </w:t>
      </w:r>
    </w:p>
    <w:p w14:paraId="6301722E" w14:textId="1737CFE7" w:rsidR="00F3442A" w:rsidRPr="0074486B" w:rsidRDefault="0003023D" w:rsidP="0074486B">
      <w:pPr>
        <w:pStyle w:val="PargrafodaLista"/>
        <w:numPr>
          <w:ilvl w:val="0"/>
          <w:numId w:val="3"/>
        </w:numPr>
        <w:ind w:left="284" w:firstLine="425"/>
        <w:rPr>
          <w:highlight w:val="white"/>
        </w:rPr>
      </w:pPr>
      <w:r w:rsidRPr="0074486B">
        <w:rPr>
          <w:highlight w:val="white"/>
        </w:rPr>
        <w:lastRenderedPageBreak/>
        <w:t>«</w:t>
      </w:r>
      <w:r w:rsidR="00E8180F" w:rsidRPr="0074486B">
        <w:rPr>
          <w:highlight w:val="white"/>
        </w:rPr>
        <w:t>Produto cosmético</w:t>
      </w:r>
      <w:r w:rsidRPr="0074486B">
        <w:rPr>
          <w:highlight w:val="white"/>
        </w:rPr>
        <w:t>»</w:t>
      </w:r>
      <w:r w:rsidR="00E8180F" w:rsidRPr="0074486B">
        <w:rPr>
          <w:highlight w:val="white"/>
        </w:rPr>
        <w:t>, um produto cosmético na aceção do Regulamento (CE) n.º 1223/2009 do Parlamento Europeu e do Conselho</w:t>
      </w:r>
      <w:r w:rsidR="004563E9" w:rsidRPr="0074486B">
        <w:rPr>
          <w:highlight w:val="white"/>
        </w:rPr>
        <w:t xml:space="preserve">, de 30 de novembro de 2009, </w:t>
      </w:r>
      <w:r w:rsidR="00E8180F" w:rsidRPr="0074486B">
        <w:rPr>
          <w:highlight w:val="white"/>
        </w:rPr>
        <w:t>relativo aos produtos cosméticos</w:t>
      </w:r>
      <w:r w:rsidR="00442515" w:rsidRPr="0074486B">
        <w:rPr>
          <w:highlight w:val="white"/>
        </w:rPr>
        <w:t>, na sua redação atual</w:t>
      </w:r>
      <w:r w:rsidR="00E8180F" w:rsidRPr="0074486B">
        <w:rPr>
          <w:highlight w:val="white"/>
        </w:rPr>
        <w:t xml:space="preserve">; </w:t>
      </w:r>
    </w:p>
    <w:p w14:paraId="56A66EC0" w14:textId="1E422C31" w:rsidR="0054554D" w:rsidRDefault="00816786" w:rsidP="0074486B">
      <w:pPr>
        <w:pStyle w:val="PargrafodaLista"/>
        <w:numPr>
          <w:ilvl w:val="0"/>
          <w:numId w:val="3"/>
        </w:numPr>
        <w:ind w:left="284" w:firstLine="425"/>
        <w:rPr>
          <w:highlight w:val="white"/>
        </w:rPr>
      </w:pPr>
      <w:r w:rsidRPr="0074486B">
        <w:rPr>
          <w:highlight w:val="white"/>
        </w:rPr>
        <w:t>«Microesfera</w:t>
      </w:r>
      <w:r w:rsidR="0054554D" w:rsidRPr="0074486B">
        <w:rPr>
          <w:highlight w:val="white"/>
        </w:rPr>
        <w:t>s</w:t>
      </w:r>
      <w:r w:rsidR="005279C9" w:rsidRPr="0074486B">
        <w:rPr>
          <w:highlight w:val="white"/>
        </w:rPr>
        <w:t xml:space="preserve"> de plástico</w:t>
      </w:r>
      <w:r w:rsidRPr="0074486B">
        <w:rPr>
          <w:highlight w:val="white"/>
        </w:rPr>
        <w:t xml:space="preserve">», </w:t>
      </w:r>
      <w:r w:rsidR="005279C9" w:rsidRPr="0074486B">
        <w:rPr>
          <w:highlight w:val="white"/>
        </w:rPr>
        <w:t>partículas contendo polímero sólido com qualquer dimensão igual ou inferior a 5 milímetros, às quais aditivos ou outras substâncias podem ter sido adicionados, com exceção dos polímeros naturais que não tenham sido quimicamente modificados,</w:t>
      </w:r>
      <w:r w:rsidRPr="0074486B">
        <w:rPr>
          <w:highlight w:val="white"/>
        </w:rPr>
        <w:t xml:space="preserve"> </w:t>
      </w:r>
      <w:r w:rsidR="005279C9" w:rsidRPr="0074486B">
        <w:rPr>
          <w:highlight w:val="white"/>
        </w:rPr>
        <w:t>utilizadas</w:t>
      </w:r>
      <w:r w:rsidRPr="0074486B">
        <w:rPr>
          <w:highlight w:val="white"/>
        </w:rPr>
        <w:t xml:space="preserve"> como um abrasivo, ou seja, para esfoliar, polir ou limpar.</w:t>
      </w:r>
    </w:p>
    <w:p w14:paraId="1A0E5587" w14:textId="77777777" w:rsidR="008F4FB8" w:rsidRPr="0074486B" w:rsidRDefault="008F4FB8" w:rsidP="008F4FB8">
      <w:pPr>
        <w:pStyle w:val="PargrafodaLista"/>
        <w:ind w:left="709" w:firstLine="0"/>
        <w:rPr>
          <w:highlight w:val="white"/>
        </w:rPr>
      </w:pPr>
    </w:p>
    <w:p w14:paraId="5F44AEB1" w14:textId="7B250D1E" w:rsidR="00F3442A" w:rsidRPr="00006360" w:rsidRDefault="004F08B1" w:rsidP="0074486B">
      <w:pPr>
        <w:pStyle w:val="Ttulo1"/>
      </w:pPr>
      <w:r w:rsidRPr="00006360">
        <w:br/>
      </w:r>
      <w:r w:rsidR="00E8180F" w:rsidRPr="00006360">
        <w:t>Proibições</w:t>
      </w:r>
    </w:p>
    <w:p w14:paraId="68EE9EC2" w14:textId="61796683" w:rsidR="00F3442A" w:rsidRPr="00006360" w:rsidRDefault="008C61F9" w:rsidP="0074486B">
      <w:pPr>
        <w:pStyle w:val="PargrafodaLista"/>
        <w:numPr>
          <w:ilvl w:val="0"/>
          <w:numId w:val="10"/>
        </w:numPr>
        <w:ind w:left="284" w:firstLine="425"/>
      </w:pPr>
      <w:r w:rsidRPr="00006360">
        <w:t>–</w:t>
      </w:r>
      <w:r w:rsidR="00277564" w:rsidRPr="00006360">
        <w:t xml:space="preserve"> </w:t>
      </w:r>
      <w:r w:rsidR="0037390A" w:rsidRPr="00006360">
        <w:t>É proibida a</w:t>
      </w:r>
      <w:r w:rsidR="00E8180F" w:rsidRPr="00006360">
        <w:t xml:space="preserve"> colocação no mercado de produtos cosméticos</w:t>
      </w:r>
      <w:r w:rsidR="00441FBB" w:rsidRPr="00006360">
        <w:t xml:space="preserve"> ou</w:t>
      </w:r>
      <w:r w:rsidR="00E8180F" w:rsidRPr="00006360">
        <w:t xml:space="preserve"> detergentes que contenham microesferas de plástico. </w:t>
      </w:r>
    </w:p>
    <w:p w14:paraId="7F5A858B" w14:textId="40B16146" w:rsidR="003D3843" w:rsidRPr="00006360" w:rsidRDefault="003D3843" w:rsidP="0074486B">
      <w:pPr>
        <w:pStyle w:val="PargrafodaLista"/>
        <w:numPr>
          <w:ilvl w:val="0"/>
          <w:numId w:val="10"/>
        </w:numPr>
        <w:ind w:left="284" w:firstLine="425"/>
      </w:pPr>
      <w:r w:rsidRPr="00006360">
        <w:t xml:space="preserve">– </w:t>
      </w:r>
      <w:bookmarkStart w:id="0" w:name="_Hlk66093173"/>
      <w:r w:rsidRPr="00006360">
        <w:t xml:space="preserve">A proibição referida no número anterior não prejudica a </w:t>
      </w:r>
      <w:r w:rsidR="00441FBB" w:rsidRPr="00006360">
        <w:t>disponibilização</w:t>
      </w:r>
      <w:r w:rsidRPr="00006360">
        <w:t xml:space="preserve"> ou utilização de produtos abrangidos, desde que colocados no mercado previamente à entrada em vigor do presente decreto-lei.</w:t>
      </w:r>
      <w:bookmarkEnd w:id="0"/>
    </w:p>
    <w:p w14:paraId="5278702E" w14:textId="783C81B6" w:rsidR="00F65A0D" w:rsidRPr="00006360" w:rsidRDefault="00442515" w:rsidP="0074486B">
      <w:pPr>
        <w:pStyle w:val="PargrafodaLista"/>
        <w:numPr>
          <w:ilvl w:val="0"/>
          <w:numId w:val="10"/>
        </w:numPr>
        <w:ind w:left="284" w:firstLine="425"/>
        <w:contextualSpacing w:val="0"/>
      </w:pPr>
      <w:r w:rsidRPr="00006360">
        <w:t>– Excluem-se igualmente do âmbito da proibição do n.º 1</w:t>
      </w:r>
      <w:r w:rsidR="00F65A0D" w:rsidRPr="00006360">
        <w:t>:</w:t>
      </w:r>
    </w:p>
    <w:p w14:paraId="466B660A" w14:textId="29CAFDE1" w:rsidR="00F65A0D" w:rsidRPr="0074486B" w:rsidRDefault="00F65A0D" w:rsidP="0074486B">
      <w:pPr>
        <w:pStyle w:val="PargrafodaLista"/>
        <w:numPr>
          <w:ilvl w:val="0"/>
          <w:numId w:val="17"/>
        </w:numPr>
        <w:spacing w:before="120"/>
        <w:ind w:left="284" w:firstLine="425"/>
        <w:rPr>
          <w:highlight w:val="white"/>
        </w:rPr>
      </w:pPr>
      <w:r w:rsidRPr="0074486B">
        <w:rPr>
          <w:highlight w:val="white"/>
        </w:rPr>
        <w:t>O</w:t>
      </w:r>
      <w:r w:rsidR="00442515" w:rsidRPr="0074486B">
        <w:rPr>
          <w:highlight w:val="white"/>
        </w:rPr>
        <w:t>s produtos fabricados</w:t>
      </w:r>
      <w:r w:rsidR="00441FBB" w:rsidRPr="0074486B">
        <w:rPr>
          <w:highlight w:val="white"/>
        </w:rPr>
        <w:t xml:space="preserve"> em território nacional</w:t>
      </w:r>
      <w:r w:rsidR="00442515" w:rsidRPr="0074486B">
        <w:rPr>
          <w:highlight w:val="white"/>
        </w:rPr>
        <w:t xml:space="preserve"> antes </w:t>
      </w:r>
      <w:r w:rsidR="008C45E1" w:rsidRPr="0074486B">
        <w:rPr>
          <w:highlight w:val="white"/>
        </w:rPr>
        <w:t>d</w:t>
      </w:r>
      <w:r w:rsidR="00442515" w:rsidRPr="0074486B">
        <w:rPr>
          <w:highlight w:val="white"/>
        </w:rPr>
        <w:t>a data da entrada em vigor do presente decreto-lei</w:t>
      </w:r>
      <w:r w:rsidRPr="0074486B">
        <w:rPr>
          <w:highlight w:val="white"/>
        </w:rPr>
        <w:t>;</w:t>
      </w:r>
    </w:p>
    <w:p w14:paraId="05929774" w14:textId="54F3EEFB" w:rsidR="00442515" w:rsidRPr="0074486B" w:rsidRDefault="00F65A0D" w:rsidP="0074486B">
      <w:pPr>
        <w:pStyle w:val="PargrafodaLista"/>
        <w:numPr>
          <w:ilvl w:val="0"/>
          <w:numId w:val="17"/>
        </w:numPr>
        <w:ind w:left="284" w:firstLine="425"/>
        <w:rPr>
          <w:highlight w:val="white"/>
        </w:rPr>
      </w:pPr>
      <w:r w:rsidRPr="0074486B">
        <w:rPr>
          <w:highlight w:val="white"/>
        </w:rPr>
        <w:t>Os produtos</w:t>
      </w:r>
      <w:r w:rsidR="00442515" w:rsidRPr="0074486B">
        <w:rPr>
          <w:highlight w:val="white"/>
        </w:rPr>
        <w:t xml:space="preserve"> cuj</w:t>
      </w:r>
      <w:r w:rsidR="00441FBB" w:rsidRPr="0074486B">
        <w:rPr>
          <w:highlight w:val="white"/>
        </w:rPr>
        <w:t>a disponibilização</w:t>
      </w:r>
      <w:r w:rsidR="00442515" w:rsidRPr="0074486B">
        <w:rPr>
          <w:highlight w:val="white"/>
        </w:rPr>
        <w:t xml:space="preserve"> </w:t>
      </w:r>
      <w:r w:rsidR="00441FBB" w:rsidRPr="0074486B">
        <w:rPr>
          <w:highlight w:val="white"/>
        </w:rPr>
        <w:t>tenha</w:t>
      </w:r>
      <w:r w:rsidR="00442515" w:rsidRPr="0074486B">
        <w:rPr>
          <w:highlight w:val="white"/>
        </w:rPr>
        <w:t xml:space="preserve"> sido contratualizad</w:t>
      </w:r>
      <w:r w:rsidR="00441FBB" w:rsidRPr="0074486B">
        <w:rPr>
          <w:highlight w:val="white"/>
        </w:rPr>
        <w:t>a</w:t>
      </w:r>
      <w:r w:rsidR="00442515" w:rsidRPr="0074486B">
        <w:rPr>
          <w:highlight w:val="white"/>
        </w:rPr>
        <w:t xml:space="preserve"> antes </w:t>
      </w:r>
      <w:r w:rsidRPr="0074486B">
        <w:rPr>
          <w:highlight w:val="white"/>
        </w:rPr>
        <w:t xml:space="preserve">da </w:t>
      </w:r>
      <w:r w:rsidR="00442515" w:rsidRPr="0074486B">
        <w:rPr>
          <w:highlight w:val="white"/>
        </w:rPr>
        <w:t xml:space="preserve">data </w:t>
      </w:r>
      <w:r w:rsidRPr="0074486B">
        <w:rPr>
          <w:highlight w:val="white"/>
        </w:rPr>
        <w:t xml:space="preserve">de entrada em vigor do presente decreto-lei </w:t>
      </w:r>
      <w:r w:rsidR="00442515" w:rsidRPr="0074486B">
        <w:rPr>
          <w:highlight w:val="white"/>
        </w:rPr>
        <w:t xml:space="preserve">e </w:t>
      </w:r>
      <w:r w:rsidR="008C45E1" w:rsidRPr="0074486B">
        <w:rPr>
          <w:highlight w:val="white"/>
        </w:rPr>
        <w:t>ocorra até</w:t>
      </w:r>
      <w:r w:rsidR="00442515" w:rsidRPr="0074486B">
        <w:rPr>
          <w:highlight w:val="white"/>
        </w:rPr>
        <w:t xml:space="preserve"> ao final de 2021.</w:t>
      </w:r>
    </w:p>
    <w:p w14:paraId="3057F9FD" w14:textId="77777777" w:rsidR="00F3442A" w:rsidRPr="00006360" w:rsidRDefault="00F3442A" w:rsidP="0074486B"/>
    <w:p w14:paraId="312C9530" w14:textId="1042E4FA" w:rsidR="00F3442A" w:rsidRPr="00006360" w:rsidRDefault="004F08B1" w:rsidP="0074486B">
      <w:pPr>
        <w:pStyle w:val="Ttulo1"/>
      </w:pPr>
      <w:r w:rsidRPr="00006360">
        <w:br/>
      </w:r>
      <w:r w:rsidR="00E8180F" w:rsidRPr="00006360">
        <w:t>Inspeção e fiscalização</w:t>
      </w:r>
    </w:p>
    <w:p w14:paraId="1664138E" w14:textId="1855F9A7" w:rsidR="00F3442A" w:rsidRPr="00006360" w:rsidRDefault="00E46D1A" w:rsidP="0074486B">
      <w:pPr>
        <w:pStyle w:val="PargrafodaLista"/>
        <w:numPr>
          <w:ilvl w:val="0"/>
          <w:numId w:val="18"/>
        </w:numPr>
        <w:ind w:left="284" w:firstLine="425"/>
      </w:pPr>
      <w:r w:rsidRPr="00006360">
        <w:t>–</w:t>
      </w:r>
      <w:r w:rsidR="00E8180F" w:rsidRPr="00006360">
        <w:t xml:space="preserve"> A fiscalização do cumprimento do disposto no presente decreto-lei cabe, no âmbito das respetivas competências, à Autoridade de Segurança Alimentar e Económica </w:t>
      </w:r>
      <w:r w:rsidR="00E8180F" w:rsidRPr="00006360">
        <w:lastRenderedPageBreak/>
        <w:t>(ASAE) e à Autoridade Tributária e Aduaneira (AT).</w:t>
      </w:r>
    </w:p>
    <w:p w14:paraId="184EDC25" w14:textId="6F89EFA6" w:rsidR="00F3442A" w:rsidRDefault="00E46D1A" w:rsidP="0074486B">
      <w:pPr>
        <w:pStyle w:val="PargrafodaLista"/>
        <w:numPr>
          <w:ilvl w:val="0"/>
          <w:numId w:val="18"/>
        </w:numPr>
        <w:ind w:left="284" w:firstLine="425"/>
      </w:pPr>
      <w:r w:rsidRPr="00006360">
        <w:t>–</w:t>
      </w:r>
      <w:r w:rsidR="00E8180F" w:rsidRPr="00006360">
        <w:t xml:space="preserve"> O disposto no número anterior não prejudica o exercício dos poderes de fiscalização e polícia que competem às demais autoridades públicas.</w:t>
      </w:r>
    </w:p>
    <w:p w14:paraId="32F3C8C7" w14:textId="77777777" w:rsidR="008F4FB8" w:rsidRPr="00006360" w:rsidRDefault="008F4FB8" w:rsidP="008F4FB8">
      <w:pPr>
        <w:pStyle w:val="PargrafodaLista"/>
        <w:ind w:left="709" w:firstLine="0"/>
      </w:pPr>
    </w:p>
    <w:p w14:paraId="7EF765E4" w14:textId="275F5B6B" w:rsidR="00F3442A" w:rsidRPr="00006360" w:rsidRDefault="004F08B1" w:rsidP="0074486B">
      <w:pPr>
        <w:pStyle w:val="Ttulo1"/>
      </w:pPr>
      <w:r w:rsidRPr="00006360">
        <w:br/>
      </w:r>
      <w:r w:rsidR="00E8180F" w:rsidRPr="00006360">
        <w:t>Contraordenação</w:t>
      </w:r>
    </w:p>
    <w:p w14:paraId="740CD79B" w14:textId="6FCEB11C" w:rsidR="00F3442A" w:rsidRPr="00006360" w:rsidRDefault="00E46D1A" w:rsidP="0074486B">
      <w:pPr>
        <w:pStyle w:val="PargrafodaLista"/>
        <w:numPr>
          <w:ilvl w:val="0"/>
          <w:numId w:val="19"/>
        </w:numPr>
        <w:ind w:left="284" w:firstLine="425"/>
      </w:pPr>
      <w:r w:rsidRPr="00006360">
        <w:t>–</w:t>
      </w:r>
      <w:r w:rsidR="00E8180F" w:rsidRPr="00006360">
        <w:t xml:space="preserve"> O i</w:t>
      </w:r>
      <w:r w:rsidR="00310001" w:rsidRPr="00006360">
        <w:t xml:space="preserve">ncumprimento do estabelecido no n.º 1 do </w:t>
      </w:r>
      <w:r w:rsidR="00E8180F" w:rsidRPr="00006360">
        <w:t>artigo 3.º constitui contraordenação</w:t>
      </w:r>
      <w:r w:rsidR="003D3843" w:rsidRPr="00006360">
        <w:t xml:space="preserve"> económica grave,</w:t>
      </w:r>
      <w:r w:rsidR="00E8180F" w:rsidRPr="00006360">
        <w:t xml:space="preserve"> punível </w:t>
      </w:r>
      <w:r w:rsidR="003D3843" w:rsidRPr="00006360">
        <w:t>nos termos do Regime Jurídico das Contraordenações Económicas, aprovado pelo Decreto-Lei n.º 9/2021, de 29 de janeiro.</w:t>
      </w:r>
      <w:r w:rsidR="00E8180F" w:rsidRPr="00006360">
        <w:t xml:space="preserve"> </w:t>
      </w:r>
    </w:p>
    <w:p w14:paraId="1E582BAB" w14:textId="6D9CE48D" w:rsidR="00F3442A" w:rsidRPr="00006360" w:rsidRDefault="00E8180F" w:rsidP="0074486B">
      <w:pPr>
        <w:pStyle w:val="PargrafodaLista"/>
        <w:numPr>
          <w:ilvl w:val="0"/>
          <w:numId w:val="19"/>
        </w:numPr>
        <w:ind w:left="284" w:firstLine="425"/>
      </w:pPr>
      <w:r w:rsidRPr="00006360">
        <w:t xml:space="preserve">– A tentativa e a negligência são puníveis, sendo o limite mínimo e máximo da coima reduzidos para metade. </w:t>
      </w:r>
    </w:p>
    <w:p w14:paraId="378FF05A" w14:textId="2776DB1F" w:rsidR="00F3442A" w:rsidRPr="00006360" w:rsidRDefault="00F3442A" w:rsidP="0074486B"/>
    <w:p w14:paraId="4CDB9348" w14:textId="715711C6" w:rsidR="00F3442A" w:rsidRPr="00006360" w:rsidRDefault="004F08B1" w:rsidP="0074486B">
      <w:pPr>
        <w:pStyle w:val="Ttulo1"/>
      </w:pPr>
      <w:r w:rsidRPr="00006360">
        <w:br/>
      </w:r>
      <w:r w:rsidR="00E8180F" w:rsidRPr="00006360">
        <w:t>Instrução do processo e aplicação de sanções</w:t>
      </w:r>
    </w:p>
    <w:p w14:paraId="1EAE1A82" w14:textId="1D8E778D" w:rsidR="00F3442A" w:rsidRPr="00006360" w:rsidRDefault="00E8180F" w:rsidP="0074486B">
      <w:r w:rsidRPr="00006360">
        <w:t>Compete à ASAE e à AT, no âmbito das respetivas competências, instruir os processos relativos à contraordenação referida no artigo anterior e decidir a aplicação das correspondentes coimas e sanções acessórias.</w:t>
      </w:r>
    </w:p>
    <w:p w14:paraId="183BAF8A" w14:textId="22CB72F2" w:rsidR="00F3442A" w:rsidRPr="00006360" w:rsidRDefault="00F3442A" w:rsidP="0074486B"/>
    <w:p w14:paraId="170C848E" w14:textId="179FA7C7" w:rsidR="00F3442A" w:rsidRPr="0074486B" w:rsidRDefault="0074486B" w:rsidP="0074486B">
      <w:pPr>
        <w:pStyle w:val="Ttulo1"/>
      </w:pPr>
      <w:r>
        <w:br/>
      </w:r>
      <w:r w:rsidR="00E8180F" w:rsidRPr="0074486B">
        <w:t>Produto das coimas</w:t>
      </w:r>
    </w:p>
    <w:p w14:paraId="56460743" w14:textId="7881F983" w:rsidR="00F3442A" w:rsidRPr="00006360" w:rsidRDefault="00E8180F" w:rsidP="0074486B">
      <w:r w:rsidRPr="00006360">
        <w:t xml:space="preserve">O produto das coimas previstas </w:t>
      </w:r>
      <w:r w:rsidR="006438D2" w:rsidRPr="00006360">
        <w:t xml:space="preserve">no </w:t>
      </w:r>
      <w:r w:rsidRPr="00006360">
        <w:t xml:space="preserve">artigo 5.º do presente decreto-lei é repartido da seguinte forma: </w:t>
      </w:r>
    </w:p>
    <w:p w14:paraId="65198DD7" w14:textId="77777777" w:rsidR="003D3843" w:rsidRPr="0074486B" w:rsidRDefault="003D3843" w:rsidP="0074486B">
      <w:pPr>
        <w:pStyle w:val="PargrafodaLista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 w:rsidRPr="0074486B">
        <w:rPr>
          <w:highlight w:val="white"/>
        </w:rPr>
        <w:t>60 % para o Estado;</w:t>
      </w:r>
    </w:p>
    <w:p w14:paraId="206360D3" w14:textId="77777777" w:rsidR="003D3843" w:rsidRPr="0074486B" w:rsidRDefault="003D3843" w:rsidP="0074486B">
      <w:pPr>
        <w:pStyle w:val="PargrafodaLista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 w:rsidRPr="0074486B">
        <w:rPr>
          <w:highlight w:val="white"/>
        </w:rPr>
        <w:t>10 % para a entidade autuante;</w:t>
      </w:r>
    </w:p>
    <w:p w14:paraId="1F8651D3" w14:textId="77777777" w:rsidR="003D3843" w:rsidRPr="0074486B" w:rsidRDefault="003D3843" w:rsidP="0074486B">
      <w:pPr>
        <w:pStyle w:val="PargrafodaLista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 w:rsidRPr="0074486B">
        <w:rPr>
          <w:highlight w:val="white"/>
        </w:rPr>
        <w:t>10 % para a entidade instrutora;</w:t>
      </w:r>
    </w:p>
    <w:p w14:paraId="7D907198" w14:textId="4B0654B6" w:rsidR="00F3442A" w:rsidRPr="0074486B" w:rsidRDefault="003D3843" w:rsidP="0074486B">
      <w:pPr>
        <w:pStyle w:val="PargrafodaLista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 w:rsidRPr="0074486B">
        <w:rPr>
          <w:highlight w:val="white"/>
        </w:rPr>
        <w:t>20 % para a entidade decisora.</w:t>
      </w:r>
    </w:p>
    <w:p w14:paraId="2962D2C6" w14:textId="77777777" w:rsidR="00F3442A" w:rsidRPr="00006360" w:rsidRDefault="00F3442A" w:rsidP="0074486B"/>
    <w:p w14:paraId="25CB4724" w14:textId="086CF13F" w:rsidR="00F3442A" w:rsidRPr="0074486B" w:rsidRDefault="0074486B" w:rsidP="0074486B">
      <w:pPr>
        <w:pStyle w:val="Ttulo1"/>
      </w:pPr>
      <w:r>
        <w:br/>
      </w:r>
      <w:r w:rsidR="00E8180F" w:rsidRPr="0074486B">
        <w:t>Regiões Autónomas</w:t>
      </w:r>
    </w:p>
    <w:p w14:paraId="0274FCF5" w14:textId="33493140" w:rsidR="00F3442A" w:rsidRPr="00006360" w:rsidRDefault="0074486B" w:rsidP="0074486B">
      <w:pPr>
        <w:pStyle w:val="PargrafodaLista"/>
        <w:numPr>
          <w:ilvl w:val="0"/>
          <w:numId w:val="21"/>
        </w:numPr>
        <w:ind w:left="284" w:firstLine="425"/>
        <w:contextualSpacing w:val="0"/>
      </w:pPr>
      <w:r>
        <w:t xml:space="preserve"> </w:t>
      </w:r>
      <w:r w:rsidRPr="00006360">
        <w:t>–</w:t>
      </w:r>
      <w:r>
        <w:t xml:space="preserve"> </w:t>
      </w:r>
      <w:r w:rsidR="00E8180F" w:rsidRPr="00006360">
        <w:t>O presente decreto-lei aplica-se às Regiões Autónomas dos Açores e da Madeira, sem prejuízo da sua adequação à especificidade regional, nos termos da respetiva autonomia político-administrativa, cabendo a sua execução aos serviços e organismos das respetivas administrações regionais</w:t>
      </w:r>
      <w:r w:rsidR="0037380C" w:rsidRPr="00006360">
        <w:t>,</w:t>
      </w:r>
      <w:r w:rsidR="00E8180F" w:rsidRPr="00006360">
        <w:t xml:space="preserve"> sem prejuízo das atribuições das entidades de âmbito nacional.</w:t>
      </w:r>
    </w:p>
    <w:p w14:paraId="5D19046A" w14:textId="4C0F0DC6" w:rsidR="00F3442A" w:rsidRPr="00006360" w:rsidRDefault="0074486B" w:rsidP="0074486B">
      <w:pPr>
        <w:pStyle w:val="PargrafodaLista"/>
        <w:numPr>
          <w:ilvl w:val="0"/>
          <w:numId w:val="21"/>
        </w:numPr>
        <w:ind w:left="284" w:firstLine="425"/>
        <w:contextualSpacing w:val="0"/>
      </w:pPr>
      <w:r w:rsidRPr="00006360">
        <w:t>–</w:t>
      </w:r>
      <w:r>
        <w:t xml:space="preserve"> </w:t>
      </w:r>
      <w:r w:rsidR="00E8180F" w:rsidRPr="00006360">
        <w:t>O produto das coimas aplicadas nas Regiões Autónomas constitui receita própria destas.</w:t>
      </w:r>
    </w:p>
    <w:p w14:paraId="05A06D96" w14:textId="77777777" w:rsidR="0037390A" w:rsidRPr="00006360" w:rsidRDefault="0037390A" w:rsidP="0074486B"/>
    <w:p w14:paraId="7D63ED44" w14:textId="640AE1C9" w:rsidR="00F3442A" w:rsidRPr="00006360" w:rsidRDefault="008F4FB8" w:rsidP="0058448A">
      <w:pPr>
        <w:pStyle w:val="Ttulo1"/>
      </w:pPr>
      <w:r>
        <w:br/>
      </w:r>
      <w:r w:rsidR="008C45E1" w:rsidRPr="00006360">
        <w:t>Entrada em vigor e p</w:t>
      </w:r>
      <w:r w:rsidR="00676A1B" w:rsidRPr="00006360">
        <w:t>rodução de efeitos</w:t>
      </w:r>
    </w:p>
    <w:p w14:paraId="7D923A77" w14:textId="57F41419" w:rsidR="00F3442A" w:rsidRPr="00006360" w:rsidRDefault="008F4FB8" w:rsidP="008F4FB8">
      <w:pPr>
        <w:pStyle w:val="PargrafodaLista"/>
        <w:numPr>
          <w:ilvl w:val="0"/>
          <w:numId w:val="22"/>
        </w:numPr>
        <w:ind w:left="284" w:firstLine="425"/>
        <w:contextualSpacing w:val="0"/>
      </w:pPr>
      <w:r w:rsidRPr="00006360">
        <w:t>–</w:t>
      </w:r>
      <w:r>
        <w:t xml:space="preserve"> </w:t>
      </w:r>
      <w:r w:rsidR="00E46D1A" w:rsidRPr="00006360">
        <w:t xml:space="preserve">O presente diploma </w:t>
      </w:r>
      <w:r w:rsidR="00676A1B" w:rsidRPr="00006360">
        <w:t xml:space="preserve">entra </w:t>
      </w:r>
      <w:r w:rsidR="00E8180F" w:rsidRPr="00006360">
        <w:t xml:space="preserve">em vigor no dia </w:t>
      </w:r>
      <w:r w:rsidR="00E46D1A" w:rsidRPr="00006360">
        <w:t>seguinte ao da sua publicação</w:t>
      </w:r>
      <w:r w:rsidR="00F65A0D" w:rsidRPr="00006360">
        <w:t>.</w:t>
      </w:r>
    </w:p>
    <w:p w14:paraId="250D74D0" w14:textId="186ACAA7" w:rsidR="008C45E1" w:rsidRPr="00006360" w:rsidRDefault="008F4FB8" w:rsidP="008F4FB8">
      <w:pPr>
        <w:pStyle w:val="PargrafodaLista"/>
        <w:numPr>
          <w:ilvl w:val="0"/>
          <w:numId w:val="22"/>
        </w:numPr>
        <w:ind w:left="284" w:firstLine="425"/>
        <w:contextualSpacing w:val="0"/>
      </w:pPr>
      <w:r w:rsidRPr="00006360">
        <w:t>–</w:t>
      </w:r>
      <w:r>
        <w:t xml:space="preserve"> </w:t>
      </w:r>
      <w:r w:rsidR="008C45E1" w:rsidRPr="00006360">
        <w:t>Sem prejuízo do disposto no artigo 183.º do Decreto-Lei n.º 9/2021, de 29 de janeiro, que aprovou o Regime Jurídico das Contraordenações Económicas, este regime é imediatamente aplicável no caso da contraordenação prevista no n.º 1 do artigo 5.º do presente decreto-lei.</w:t>
      </w:r>
    </w:p>
    <w:sectPr w:rsidR="008C45E1" w:rsidRPr="0000636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8B7CD" w14:textId="77777777" w:rsidR="00453C61" w:rsidRDefault="00453C61" w:rsidP="0074486B">
      <w:r>
        <w:separator/>
      </w:r>
    </w:p>
  </w:endnote>
  <w:endnote w:type="continuationSeparator" w:id="0">
    <w:p w14:paraId="4C8E8476" w14:textId="77777777" w:rsidR="00453C61" w:rsidRDefault="00453C61" w:rsidP="0074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30B56" w14:textId="77777777" w:rsidR="0074486B" w:rsidRDefault="0074486B" w:rsidP="0074486B">
    <w:pPr>
      <w:pStyle w:val="Rodap"/>
    </w:pPr>
    <w:r>
      <w:fldChar w:fldCharType="begin"/>
    </w:r>
    <w:r>
      <w:instrText>PAGE</w:instrText>
    </w:r>
    <w:r>
      <w:fldChar w:fldCharType="separate"/>
    </w:r>
    <w:r w:rsidR="0092331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9E59E" w14:textId="77777777" w:rsidR="00453C61" w:rsidRDefault="00453C61" w:rsidP="0074486B">
      <w:r>
        <w:separator/>
      </w:r>
    </w:p>
  </w:footnote>
  <w:footnote w:type="continuationSeparator" w:id="0">
    <w:p w14:paraId="4DD03874" w14:textId="77777777" w:rsidR="00453C61" w:rsidRDefault="00453C61" w:rsidP="0074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2286F" w14:textId="77777777" w:rsidR="0074486B" w:rsidRPr="00EF0262" w:rsidRDefault="0074486B" w:rsidP="0074486B">
    <w:pPr>
      <w:jc w:val="center"/>
    </w:pPr>
    <w:r w:rsidRPr="00EF0262">
      <w:rPr>
        <w:noProof/>
        <w:lang w:eastAsia="pt-PT"/>
      </w:rPr>
      <w:drawing>
        <wp:inline distT="0" distB="0" distL="0" distR="0" wp14:anchorId="0E743FC7" wp14:editId="1CBF634D">
          <wp:extent cx="361950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5E166" w14:textId="71BAF3D3" w:rsidR="0074486B" w:rsidRPr="00EF0262" w:rsidRDefault="0074486B" w:rsidP="0074486B">
    <w:pPr>
      <w:jc w:val="center"/>
    </w:pPr>
    <w:r w:rsidRPr="00EF0262">
      <w:t>Ministra/o d</w:t>
    </w:r>
  </w:p>
  <w:p w14:paraId="6134CCEF" w14:textId="3737DD9E" w:rsidR="0074486B" w:rsidRPr="00EF0262" w:rsidRDefault="0074486B" w:rsidP="0074486B">
    <w:pPr>
      <w:jc w:val="center"/>
    </w:pPr>
    <w:r w:rsidRPr="00EF0262">
      <w:rPr>
        <w:noProof/>
      </w:rPr>
      <w:object w:dxaOrig="1296" w:dyaOrig="288" w14:anchorId="78E26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5.4pt;height:14.4pt;mso-width-percent:0;mso-height-percent:0;mso-width-percent:0;mso-height-percent:0">
          <v:imagedata r:id="rId2" o:title=""/>
        </v:shape>
        <o:OLEObject Type="Embed" ProgID="Word.Picture.8" ShapeID="_x0000_i1025" DrawAspect="Content" ObjectID="_1678000195" r:id="rId3"/>
      </w:object>
    </w:r>
  </w:p>
  <w:p w14:paraId="41A6E695" w14:textId="77777777" w:rsidR="0074486B" w:rsidRPr="00EF0262" w:rsidRDefault="0074486B" w:rsidP="0074486B">
    <w:pPr>
      <w:jc w:val="center"/>
    </w:pPr>
  </w:p>
  <w:p w14:paraId="3AE8C256" w14:textId="753DCC90" w:rsidR="0074486B" w:rsidRPr="00EF0262" w:rsidRDefault="0074486B" w:rsidP="0074486B">
    <w:pPr>
      <w:jc w:val="center"/>
      <w:rPr>
        <w:rFonts w:asciiTheme="minorHAnsi" w:hAnsiTheme="minorHAnsi"/>
        <w:sz w:val="32"/>
        <w:szCs w:val="32"/>
      </w:rPr>
    </w:pPr>
    <w:r w:rsidRPr="00EF0262">
      <w:t xml:space="preserve">Decreto </w:t>
    </w:r>
    <w:r w:rsidRPr="00EF0262">
      <w:rPr>
        <w:rFonts w:asciiTheme="minorHAnsi" w:hAnsiTheme="minorHAnsi"/>
        <w:sz w:val="32"/>
        <w:szCs w:val="32"/>
        <w:u w:val="dotted"/>
        <w:vertAlign w:val="subscript"/>
      </w:rPr>
      <w:tab/>
    </w:r>
    <w:r w:rsidRPr="00EF0262">
      <w:t xml:space="preserve"> </w:t>
    </w:r>
    <w:r w:rsidRPr="00EF0262">
      <w:rPr>
        <w:spacing w:val="20"/>
      </w:rPr>
      <w:t>n.º</w:t>
    </w:r>
  </w:p>
  <w:p w14:paraId="410BACD8" w14:textId="77777777" w:rsidR="0074486B" w:rsidRDefault="0074486B" w:rsidP="007448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7D49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C18"/>
    <w:multiLevelType w:val="hybridMultilevel"/>
    <w:tmpl w:val="80CA639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08CB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0AF6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3E78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27E0"/>
    <w:multiLevelType w:val="multilevel"/>
    <w:tmpl w:val="DEC849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3C06E1C"/>
    <w:multiLevelType w:val="hybridMultilevel"/>
    <w:tmpl w:val="406A79F6"/>
    <w:lvl w:ilvl="0" w:tplc="EF96D516">
      <w:start w:val="1"/>
      <w:numFmt w:val="decimal"/>
      <w:lvlText w:val="%1 -"/>
      <w:lvlJc w:val="left"/>
      <w:pPr>
        <w:ind w:left="360" w:hanging="360"/>
      </w:pPr>
      <w:rPr>
        <w:rFonts w:hint="default"/>
      </w:rPr>
    </w:lvl>
    <w:lvl w:ilvl="1" w:tplc="509493F6">
      <w:start w:val="1"/>
      <w:numFmt w:val="lowerLetter"/>
      <w:lvlText w:val="%2."/>
      <w:lvlJc w:val="left"/>
      <w:pPr>
        <w:ind w:left="-2813" w:hanging="360"/>
      </w:pPr>
    </w:lvl>
    <w:lvl w:ilvl="2" w:tplc="B74206BC" w:tentative="1">
      <w:start w:val="1"/>
      <w:numFmt w:val="lowerRoman"/>
      <w:lvlText w:val="%3."/>
      <w:lvlJc w:val="right"/>
      <w:pPr>
        <w:ind w:left="-2093" w:hanging="180"/>
      </w:pPr>
    </w:lvl>
    <w:lvl w:ilvl="3" w:tplc="D090E1C6" w:tentative="1">
      <w:start w:val="1"/>
      <w:numFmt w:val="decimal"/>
      <w:lvlText w:val="%4."/>
      <w:lvlJc w:val="left"/>
      <w:pPr>
        <w:ind w:left="-1373" w:hanging="360"/>
      </w:pPr>
    </w:lvl>
    <w:lvl w:ilvl="4" w:tplc="0FAC9E4E" w:tentative="1">
      <w:start w:val="1"/>
      <w:numFmt w:val="lowerLetter"/>
      <w:lvlText w:val="%5."/>
      <w:lvlJc w:val="left"/>
      <w:pPr>
        <w:ind w:left="-653" w:hanging="360"/>
      </w:pPr>
    </w:lvl>
    <w:lvl w:ilvl="5" w:tplc="B8BA5ED0" w:tentative="1">
      <w:start w:val="1"/>
      <w:numFmt w:val="lowerRoman"/>
      <w:lvlText w:val="%6."/>
      <w:lvlJc w:val="right"/>
      <w:pPr>
        <w:ind w:left="67" w:hanging="180"/>
      </w:pPr>
    </w:lvl>
    <w:lvl w:ilvl="6" w:tplc="A800B2CC" w:tentative="1">
      <w:start w:val="1"/>
      <w:numFmt w:val="decimal"/>
      <w:lvlText w:val="%7."/>
      <w:lvlJc w:val="left"/>
      <w:pPr>
        <w:ind w:left="787" w:hanging="360"/>
      </w:pPr>
    </w:lvl>
    <w:lvl w:ilvl="7" w:tplc="CFA6C1C2" w:tentative="1">
      <w:start w:val="1"/>
      <w:numFmt w:val="lowerLetter"/>
      <w:lvlText w:val="%8."/>
      <w:lvlJc w:val="left"/>
      <w:pPr>
        <w:ind w:left="1507" w:hanging="360"/>
      </w:pPr>
    </w:lvl>
    <w:lvl w:ilvl="8" w:tplc="A8D0C14E" w:tentative="1">
      <w:start w:val="1"/>
      <w:numFmt w:val="lowerRoman"/>
      <w:lvlText w:val="%9."/>
      <w:lvlJc w:val="right"/>
      <w:pPr>
        <w:ind w:left="2227" w:hanging="180"/>
      </w:pPr>
    </w:lvl>
  </w:abstractNum>
  <w:abstractNum w:abstractNumId="7" w15:restartNumberingAfterBreak="0">
    <w:nsid w:val="19AB5D74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7FD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C321A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55934"/>
    <w:multiLevelType w:val="multilevel"/>
    <w:tmpl w:val="51E07D1C"/>
    <w:lvl w:ilvl="0">
      <w:start w:val="1"/>
      <w:numFmt w:val="lowerLetter"/>
      <w:lvlText w:val="%1)"/>
      <w:lvlJc w:val="left"/>
      <w:pPr>
        <w:ind w:left="1440" w:hanging="720"/>
      </w:pPr>
      <w:rPr>
        <w:rFonts w:ascii="Garamond" w:eastAsia="Calibri" w:hAnsi="Garamond" w:cs="DejaVu Sans" w:hint="default"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AC797D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961F6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177DF"/>
    <w:multiLevelType w:val="hybridMultilevel"/>
    <w:tmpl w:val="B376562E"/>
    <w:lvl w:ilvl="0" w:tplc="8AFECE38">
      <w:start w:val="1"/>
      <w:numFmt w:val="decimal"/>
      <w:pStyle w:val="Ttulo1"/>
      <w:lvlText w:val="Artigo %1.º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F3E30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9372E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961E8"/>
    <w:multiLevelType w:val="multilevel"/>
    <w:tmpl w:val="BF84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8F1B65"/>
    <w:multiLevelType w:val="hybridMultilevel"/>
    <w:tmpl w:val="46EA02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57FE6"/>
    <w:multiLevelType w:val="multilevel"/>
    <w:tmpl w:val="6FB88990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E35DD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828EB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5"/>
  </w:num>
  <w:num w:numId="5">
    <w:abstractNumId w:val="6"/>
  </w:num>
  <w:num w:numId="6">
    <w:abstractNumId w:val="16"/>
  </w:num>
  <w:num w:numId="7">
    <w:abstractNumId w:val="1"/>
  </w:num>
  <w:num w:numId="8">
    <w:abstractNumId w:val="4"/>
  </w:num>
  <w:num w:numId="9">
    <w:abstractNumId w:val="17"/>
  </w:num>
  <w:num w:numId="10">
    <w:abstractNumId w:val="11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13"/>
  </w:num>
  <w:num w:numId="16">
    <w:abstractNumId w:val="19"/>
  </w:num>
  <w:num w:numId="17">
    <w:abstractNumId w:val="15"/>
  </w:num>
  <w:num w:numId="18">
    <w:abstractNumId w:val="20"/>
  </w:num>
  <w:num w:numId="19">
    <w:abstractNumId w:val="14"/>
  </w:num>
  <w:num w:numId="20">
    <w:abstractNumId w:val="12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15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2A"/>
    <w:rsid w:val="00006360"/>
    <w:rsid w:val="0003023D"/>
    <w:rsid w:val="00034ED1"/>
    <w:rsid w:val="00050D9B"/>
    <w:rsid w:val="00077B88"/>
    <w:rsid w:val="001053A5"/>
    <w:rsid w:val="00123731"/>
    <w:rsid w:val="00123ECC"/>
    <w:rsid w:val="0012554C"/>
    <w:rsid w:val="00132921"/>
    <w:rsid w:val="0018541E"/>
    <w:rsid w:val="001A27AA"/>
    <w:rsid w:val="001B40C5"/>
    <w:rsid w:val="001D05C2"/>
    <w:rsid w:val="0027617A"/>
    <w:rsid w:val="00277564"/>
    <w:rsid w:val="00280546"/>
    <w:rsid w:val="002A3096"/>
    <w:rsid w:val="002A4FB2"/>
    <w:rsid w:val="002B26EF"/>
    <w:rsid w:val="002B5031"/>
    <w:rsid w:val="002E3F73"/>
    <w:rsid w:val="002E5F14"/>
    <w:rsid w:val="002F0A7B"/>
    <w:rsid w:val="00310001"/>
    <w:rsid w:val="00347636"/>
    <w:rsid w:val="003710CA"/>
    <w:rsid w:val="0037380C"/>
    <w:rsid w:val="0037390A"/>
    <w:rsid w:val="00381FB7"/>
    <w:rsid w:val="003A7739"/>
    <w:rsid w:val="003D3843"/>
    <w:rsid w:val="003E42C6"/>
    <w:rsid w:val="003F2867"/>
    <w:rsid w:val="003F2944"/>
    <w:rsid w:val="0040360B"/>
    <w:rsid w:val="00404F3B"/>
    <w:rsid w:val="00441FBB"/>
    <w:rsid w:val="00442062"/>
    <w:rsid w:val="00442515"/>
    <w:rsid w:val="00453C61"/>
    <w:rsid w:val="004563E9"/>
    <w:rsid w:val="0048150C"/>
    <w:rsid w:val="004F08B1"/>
    <w:rsid w:val="004F3FAB"/>
    <w:rsid w:val="005279C9"/>
    <w:rsid w:val="0054554D"/>
    <w:rsid w:val="00560167"/>
    <w:rsid w:val="00577305"/>
    <w:rsid w:val="00586237"/>
    <w:rsid w:val="00586ABD"/>
    <w:rsid w:val="005901FA"/>
    <w:rsid w:val="005A173F"/>
    <w:rsid w:val="005B2A0F"/>
    <w:rsid w:val="005D6D4F"/>
    <w:rsid w:val="006204CA"/>
    <w:rsid w:val="006259F9"/>
    <w:rsid w:val="0063732C"/>
    <w:rsid w:val="006438D2"/>
    <w:rsid w:val="00676A1B"/>
    <w:rsid w:val="006B2431"/>
    <w:rsid w:val="006D3B1C"/>
    <w:rsid w:val="006D4598"/>
    <w:rsid w:val="00704C6E"/>
    <w:rsid w:val="007314BD"/>
    <w:rsid w:val="0074486B"/>
    <w:rsid w:val="00793018"/>
    <w:rsid w:val="007E30D8"/>
    <w:rsid w:val="00810470"/>
    <w:rsid w:val="00814203"/>
    <w:rsid w:val="00816786"/>
    <w:rsid w:val="008224AC"/>
    <w:rsid w:val="00881FF0"/>
    <w:rsid w:val="008867AF"/>
    <w:rsid w:val="00897BA8"/>
    <w:rsid w:val="008B6317"/>
    <w:rsid w:val="008C45E1"/>
    <w:rsid w:val="008C61F9"/>
    <w:rsid w:val="008C6843"/>
    <w:rsid w:val="008D6CB0"/>
    <w:rsid w:val="008E7F87"/>
    <w:rsid w:val="008F4FB8"/>
    <w:rsid w:val="00915636"/>
    <w:rsid w:val="00922804"/>
    <w:rsid w:val="00923317"/>
    <w:rsid w:val="00927820"/>
    <w:rsid w:val="0094463C"/>
    <w:rsid w:val="00971462"/>
    <w:rsid w:val="009749B4"/>
    <w:rsid w:val="009845FE"/>
    <w:rsid w:val="009A4759"/>
    <w:rsid w:val="009A494A"/>
    <w:rsid w:val="009B336D"/>
    <w:rsid w:val="009F7922"/>
    <w:rsid w:val="00A02D68"/>
    <w:rsid w:val="00A330E4"/>
    <w:rsid w:val="00A506A5"/>
    <w:rsid w:val="00A54130"/>
    <w:rsid w:val="00A5670B"/>
    <w:rsid w:val="00A73E4D"/>
    <w:rsid w:val="00A94281"/>
    <w:rsid w:val="00A9649F"/>
    <w:rsid w:val="00AE2712"/>
    <w:rsid w:val="00AF150A"/>
    <w:rsid w:val="00B07A51"/>
    <w:rsid w:val="00B12E71"/>
    <w:rsid w:val="00B16F42"/>
    <w:rsid w:val="00B260BA"/>
    <w:rsid w:val="00B42E19"/>
    <w:rsid w:val="00B6463C"/>
    <w:rsid w:val="00BC33AC"/>
    <w:rsid w:val="00BE0D3D"/>
    <w:rsid w:val="00BF7812"/>
    <w:rsid w:val="00C33041"/>
    <w:rsid w:val="00C8696D"/>
    <w:rsid w:val="00CD7454"/>
    <w:rsid w:val="00D215E0"/>
    <w:rsid w:val="00D22FB5"/>
    <w:rsid w:val="00D304B8"/>
    <w:rsid w:val="00D53F20"/>
    <w:rsid w:val="00D64044"/>
    <w:rsid w:val="00D71678"/>
    <w:rsid w:val="00D73E8E"/>
    <w:rsid w:val="00D80392"/>
    <w:rsid w:val="00DD7AD7"/>
    <w:rsid w:val="00DE0642"/>
    <w:rsid w:val="00DE0C46"/>
    <w:rsid w:val="00DF1296"/>
    <w:rsid w:val="00DF1766"/>
    <w:rsid w:val="00E45811"/>
    <w:rsid w:val="00E46D1A"/>
    <w:rsid w:val="00E8180F"/>
    <w:rsid w:val="00EA20C6"/>
    <w:rsid w:val="00EA4B8E"/>
    <w:rsid w:val="00EC1940"/>
    <w:rsid w:val="00EF0262"/>
    <w:rsid w:val="00EF5296"/>
    <w:rsid w:val="00EF7C20"/>
    <w:rsid w:val="00F011C7"/>
    <w:rsid w:val="00F0599C"/>
    <w:rsid w:val="00F26AD4"/>
    <w:rsid w:val="00F3442A"/>
    <w:rsid w:val="00F5553A"/>
    <w:rsid w:val="00F65A0D"/>
    <w:rsid w:val="00F67874"/>
    <w:rsid w:val="00F754B3"/>
    <w:rsid w:val="00F77B3C"/>
    <w:rsid w:val="00FB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5880CD"/>
  <w15:docId w15:val="{596893BB-5E8A-441B-9548-F3C630D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DejaVu Sans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6B"/>
    <w:pPr>
      <w:widowControl w:val="0"/>
      <w:spacing w:after="120" w:line="360" w:lineRule="auto"/>
      <w:ind w:firstLine="284"/>
      <w:jc w:val="both"/>
    </w:pPr>
    <w:rPr>
      <w:rFonts w:ascii="Garamond" w:eastAsiaTheme="minorHAnsi" w:hAnsi="Garamond" w:cstheme="minorBidi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006360"/>
    <w:pPr>
      <w:numPr>
        <w:numId w:val="14"/>
      </w:numPr>
      <w:tabs>
        <w:tab w:val="left" w:pos="1276"/>
      </w:tabs>
      <w:ind w:left="364" w:firstLine="0"/>
      <w:jc w:val="center"/>
      <w:outlineLvl w:val="0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qFormat/>
  </w:style>
  <w:style w:type="character" w:customStyle="1" w:styleId="RodapCarter">
    <w:name w:val="Rodapé Caráter"/>
    <w:basedOn w:val="Tipodeletrapredefinidodopargrafo"/>
    <w:qFormat/>
  </w:style>
  <w:style w:type="character" w:customStyle="1" w:styleId="LigaodeInternet">
    <w:name w:val="Ligação de Internet"/>
    <w:basedOn w:val="Tipodeletrapredefinidodopargrafo"/>
    <w:rPr>
      <w:color w:val="0000FF"/>
      <w:u w:val="single"/>
    </w:rPr>
  </w:style>
  <w:style w:type="character" w:styleId="Forte">
    <w:name w:val="Strong"/>
    <w:basedOn w:val="Tipodeletrapredefinidodopargrafo"/>
    <w:qFormat/>
    <w:rPr>
      <w:b/>
      <w:bCs/>
    </w:rPr>
  </w:style>
  <w:style w:type="character" w:customStyle="1" w:styleId="TextodecomentrioCarter">
    <w:name w:val="Texto de comentário Caráter"/>
    <w:basedOn w:val="Tipodeletrapredefinidodopargrafo"/>
    <w:qFormat/>
    <w:rPr>
      <w:sz w:val="20"/>
      <w:szCs w:val="20"/>
    </w:rPr>
  </w:style>
  <w:style w:type="character" w:styleId="Refdecomentrio">
    <w:name w:val="annotation reference"/>
    <w:basedOn w:val="Tipodeletrapredefinidodopargrafo"/>
    <w:qFormat/>
    <w:rPr>
      <w:sz w:val="16"/>
      <w:szCs w:val="16"/>
    </w:rPr>
  </w:style>
  <w:style w:type="character" w:customStyle="1" w:styleId="TextodebaloCarter">
    <w:name w:val="Texto de balão Caráter"/>
    <w:basedOn w:val="Tipodeletrapredefinidodopargrafo"/>
    <w:qFormat/>
    <w:rPr>
      <w:rFonts w:ascii="Segoe UI" w:hAnsi="Segoe UI" w:cs="Segoe UI"/>
      <w:sz w:val="18"/>
      <w:szCs w:val="18"/>
    </w:rPr>
  </w:style>
  <w:style w:type="character" w:customStyle="1" w:styleId="AvanodecorpodetextoCarter">
    <w:name w:val="Avanço de corpo de texto Caráter"/>
    <w:basedOn w:val="Tipodeletrapredefinidodopargrafo"/>
    <w:qFormat/>
    <w:rPr>
      <w:rFonts w:ascii="Times New Roman" w:hAnsi="Times New Roman" w:cs="Times New Roman"/>
      <w:sz w:val="24"/>
      <w:szCs w:val="24"/>
      <w:lang w:eastAsia="pt-PT" w:bidi="pt-PT"/>
    </w:rPr>
  </w:style>
  <w:style w:type="character" w:customStyle="1" w:styleId="AssuntodecomentrioCarter">
    <w:name w:val="Assunto de comentário Caráter"/>
    <w:basedOn w:val="TextodecomentrioCarte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Verdana" w:eastAsia="Calibri" w:hAnsi="Verdana" w:cs="DejaVu Sans"/>
      <w:sz w:val="20"/>
    </w:rPr>
  </w:style>
  <w:style w:type="character" w:customStyle="1" w:styleId="ListLabel2">
    <w:name w:val="ListLabel 2"/>
    <w:qFormat/>
    <w:rPr>
      <w:rFonts w:ascii="Verdana" w:eastAsia="Calibri" w:hAnsi="Verdana" w:cs="DejaVu Sans"/>
      <w:sz w:val="20"/>
      <w:szCs w:val="20"/>
      <w:highlight w:val="yellow"/>
      <w:lang w:eastAsia="en-US"/>
    </w:rPr>
  </w:style>
  <w:style w:type="character" w:customStyle="1" w:styleId="ListLabel3">
    <w:name w:val="ListLabel 3"/>
    <w:qFormat/>
    <w:rPr>
      <w:rFonts w:ascii="Verdana" w:hAnsi="Verdana"/>
      <w:color w:val="006633"/>
      <w:sz w:val="20"/>
      <w:szCs w:val="20"/>
      <w:highlight w:val="white"/>
    </w:rPr>
  </w:style>
  <w:style w:type="character" w:customStyle="1" w:styleId="ListLabel4">
    <w:name w:val="ListLabel 4"/>
    <w:qFormat/>
    <w:rPr>
      <w:rFonts w:ascii="Verdana" w:eastAsia="Calibri" w:hAnsi="Verdana" w:cs="DejaVu Sans"/>
      <w:sz w:val="20"/>
    </w:rPr>
  </w:style>
  <w:style w:type="character" w:customStyle="1" w:styleId="ListLabel5">
    <w:name w:val="ListLabel 5"/>
    <w:qFormat/>
    <w:rPr>
      <w:rFonts w:ascii="Verdana" w:eastAsia="Calibri" w:hAnsi="Verdana" w:cs="DejaVu Sans"/>
      <w:sz w:val="20"/>
      <w:szCs w:val="20"/>
      <w:highlight w:val="yellow"/>
      <w:lang w:eastAsia="en-US"/>
    </w:rPr>
  </w:style>
  <w:style w:type="character" w:customStyle="1" w:styleId="ListLabel6">
    <w:name w:val="ListLabel 6"/>
    <w:qFormat/>
    <w:rPr>
      <w:rFonts w:ascii="Verdana" w:hAnsi="Verdana"/>
      <w:color w:val="006633"/>
      <w:sz w:val="20"/>
      <w:szCs w:val="20"/>
      <w:highlight w:val="white"/>
    </w:rPr>
  </w:style>
  <w:style w:type="character" w:styleId="nfase">
    <w:name w:val="Emphasis"/>
    <w:qFormat/>
    <w:rPr>
      <w:i/>
      <w:iCs/>
    </w:rPr>
  </w:style>
  <w:style w:type="character" w:customStyle="1" w:styleId="ListLabel7">
    <w:name w:val="ListLabel 7"/>
    <w:qFormat/>
    <w:rPr>
      <w:rFonts w:ascii="Verdana" w:eastAsia="Calibri" w:hAnsi="Verdana" w:cs="DejaVu Sans"/>
      <w:sz w:val="20"/>
    </w:rPr>
  </w:style>
  <w:style w:type="character" w:customStyle="1" w:styleId="ListLabel8">
    <w:name w:val="ListLabel 8"/>
    <w:qFormat/>
    <w:rPr>
      <w:rFonts w:ascii="Verdana" w:eastAsia="Calibri" w:hAnsi="Verdana"/>
      <w:sz w:val="20"/>
      <w:szCs w:val="20"/>
      <w:highlight w:val="yellow"/>
      <w:lang w:eastAsia="en-US"/>
    </w:rPr>
  </w:style>
  <w:style w:type="character" w:customStyle="1" w:styleId="ListLabel9">
    <w:name w:val="ListLabel 9"/>
    <w:qFormat/>
    <w:rPr>
      <w:rFonts w:ascii="Verdana" w:hAnsi="Verdana"/>
      <w:color w:val="006633"/>
      <w:sz w:val="20"/>
      <w:szCs w:val="20"/>
      <w:highlight w:val="white"/>
    </w:r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arter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lang w:eastAsia="pt-PT"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vanodecorpodetexto">
    <w:name w:val="Body Text Indent"/>
    <w:basedOn w:val="Normal"/>
    <w:pPr>
      <w:spacing w:before="240" w:after="240" w:line="480" w:lineRule="auto"/>
      <w:ind w:left="2160" w:hanging="720"/>
    </w:pPr>
    <w:rPr>
      <w:rFonts w:ascii="Times New Roman" w:hAnsi="Times New Roman" w:cs="Times New Roman"/>
      <w:lang w:eastAsia="pt-PT" w:bidi="pt-PT"/>
    </w:rPr>
  </w:style>
  <w:style w:type="paragraph" w:styleId="Assuntodecomentrio">
    <w:name w:val="annotation subject"/>
    <w:basedOn w:val="Textodecomentrio"/>
    <w:qFormat/>
    <w:rPr>
      <w:b/>
      <w:bCs/>
    </w:rPr>
  </w:style>
  <w:style w:type="paragraph" w:styleId="Reviso">
    <w:name w:val="Revision"/>
    <w:qFormat/>
    <w:pPr>
      <w:overflowPunct w:val="0"/>
    </w:pPr>
    <w:rPr>
      <w:sz w:val="22"/>
    </w:rPr>
  </w:style>
  <w:style w:type="paragraph" w:customStyle="1" w:styleId="Contedodatabela">
    <w:name w:val="Conteúdo da tabela"/>
    <w:basedOn w:val="Normal"/>
    <w:qFormat/>
    <w:rsid w:val="009845FE"/>
    <w:pPr>
      <w:suppressLineNumbers/>
    </w:pPr>
    <w:rPr>
      <w:rFonts w:asciiTheme="minorHAnsi" w:hAnsiTheme="minorHAnsi"/>
    </w:rPr>
  </w:style>
  <w:style w:type="character" w:customStyle="1" w:styleId="nfaseacentuada">
    <w:name w:val="Ênfase acentuada"/>
    <w:qFormat/>
    <w:rsid w:val="00EC1940"/>
    <w:rPr>
      <w:b/>
      <w:bCs/>
    </w:rPr>
  </w:style>
  <w:style w:type="character" w:customStyle="1" w:styleId="PargrafodaListaCarter">
    <w:name w:val="Parágrafo da Lista Caráter"/>
    <w:link w:val="PargrafodaLista"/>
    <w:uiPriority w:val="34"/>
    <w:rsid w:val="0037390A"/>
    <w:rPr>
      <w:sz w:val="22"/>
    </w:rPr>
  </w:style>
  <w:style w:type="paragraph" w:customStyle="1" w:styleId="CM1">
    <w:name w:val="CM1"/>
    <w:basedOn w:val="Normal"/>
    <w:next w:val="Normal"/>
    <w:uiPriority w:val="99"/>
    <w:rsid w:val="0054554D"/>
    <w:pPr>
      <w:autoSpaceDE w:val="0"/>
      <w:autoSpaceDN w:val="0"/>
      <w:adjustRightInd w:val="0"/>
      <w:spacing w:after="0" w:line="240" w:lineRule="auto"/>
    </w:pPr>
    <w:rPr>
      <w:rFonts w:ascii="EU Albertina" w:hAnsi="EU Albertina"/>
    </w:rPr>
  </w:style>
  <w:style w:type="paragraph" w:customStyle="1" w:styleId="CM3">
    <w:name w:val="CM3"/>
    <w:basedOn w:val="Normal"/>
    <w:next w:val="Normal"/>
    <w:uiPriority w:val="99"/>
    <w:rsid w:val="0054554D"/>
    <w:pPr>
      <w:autoSpaceDE w:val="0"/>
      <w:autoSpaceDN w:val="0"/>
      <w:adjustRightInd w:val="0"/>
      <w:spacing w:after="0" w:line="240" w:lineRule="auto"/>
    </w:pPr>
    <w:rPr>
      <w:rFonts w:ascii="EU Albertina" w:hAnsi="EU Albertina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06360"/>
    <w:rPr>
      <w:rFonts w:ascii="Garamond" w:hAnsi="Garamond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9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8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0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12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462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41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86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50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993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e.pt/application/external/eurolex?06R1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1356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dc:description/>
  <cp:lastModifiedBy>Ana Maria Couras</cp:lastModifiedBy>
  <cp:revision>2</cp:revision>
  <cp:lastPrinted>2021-02-01T17:16:00Z</cp:lastPrinted>
  <dcterms:created xsi:type="dcterms:W3CDTF">2021-03-23T10:24:00Z</dcterms:created>
  <dcterms:modified xsi:type="dcterms:W3CDTF">2021-03-23T10:24:00Z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FileDoc_ClassificationNodeID">
    <vt:lpwstr/>
  </property>
  <property fmtid="{D5CDD505-2E9C-101B-9397-08002B2CF9AE}" pid="5" name="FileDoc_DocFileID">
    <vt:lpwstr>3700771</vt:lpwstr>
  </property>
  <property fmtid="{D5CDD505-2E9C-101B-9397-08002B2CF9AE}" pid="6" name="FileDoc_DocID">
    <vt:lpwstr>2627419</vt:lpwstr>
  </property>
  <property fmtid="{D5CDD505-2E9C-101B-9397-08002B2CF9AE}" pid="7" name="FileDoc_EntityID">
    <vt:lpwstr/>
  </property>
  <property fmtid="{D5CDD505-2E9C-101B-9397-08002B2CF9AE}" pid="8" name="FileDoc_ProcID">
    <vt:lpwstr/>
  </property>
  <property fmtid="{D5CDD505-2E9C-101B-9397-08002B2CF9AE}" pid="9" name="FileDoc_RecordType">
    <vt:lpwstr>DOCS</vt:lpwstr>
  </property>
  <property fmtid="{D5CDD505-2E9C-101B-9397-08002B2CF9AE}" pid="10" name="HyperlinksChanged">
    <vt:bool>false</vt:bool>
  </property>
  <property fmtid="{D5CDD505-2E9C-101B-9397-08002B2CF9AE}" pid="11" name="LinksUpToDate">
    <vt:bool>false</vt:bool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