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9951F" w14:textId="77777777" w:rsidR="00764F0F" w:rsidRDefault="000C52A9">
      <w:pPr>
        <w:ind w:right="-194"/>
        <w:rPr>
          <w:rFonts w:ascii="Times New Roman" w:hAnsi="Times New Roman"/>
          <w:b/>
          <w:spacing w:val="-35"/>
          <w:sz w:val="32"/>
        </w:rPr>
      </w:pPr>
      <w:r>
        <w:rPr>
          <w:rFonts w:ascii="Times New Roman" w:hAnsi="Times New Roman"/>
          <w:b/>
          <w:spacing w:val="-35"/>
          <w:sz w:val="32"/>
        </w:rPr>
        <w:t>FEDERAÇÃO  DAS  INDÚSTRIAS  DE  ÓLEOS  VEGETAIS  DERIVADOS  E  EQUIPARADOS</w:t>
      </w:r>
    </w:p>
    <w:p w14:paraId="184A85E1" w14:textId="77777777" w:rsidR="00764F0F" w:rsidRDefault="000C52A9">
      <w:pPr>
        <w:jc w:val="center"/>
        <w:rPr>
          <w:rFonts w:ascii="Times New Roman" w:hAnsi="Times New Roman"/>
          <w:b/>
          <w:sz w:val="22"/>
        </w:rPr>
      </w:pPr>
      <w:r>
        <w:rPr>
          <w:rFonts w:ascii="Times New Roman" w:hAnsi="Times New Roman"/>
          <w:b/>
          <w:sz w:val="22"/>
        </w:rPr>
        <w:t>Rua da Junqueira, nº. 39-2º. (Edifício Rosa) - 1300-307 LISBOA</w:t>
      </w:r>
    </w:p>
    <w:p w14:paraId="7DFEC461" w14:textId="77777777" w:rsidR="00764F0F" w:rsidRDefault="000C52A9">
      <w:pPr>
        <w:jc w:val="center"/>
      </w:pPr>
      <w:r>
        <w:rPr>
          <w:rFonts w:ascii="Times New Roman" w:hAnsi="Times New Roman"/>
          <w:b/>
        </w:rPr>
        <w:t>TELEFONE:  21 799 15 50    TELEFAX:  21 799 15 51</w:t>
      </w:r>
    </w:p>
    <w:p w14:paraId="31C0AD8F" w14:textId="77777777" w:rsidR="00764F0F" w:rsidRDefault="000C52A9">
      <w:pPr>
        <w:jc w:val="center"/>
        <w:rPr>
          <w:rFonts w:ascii="Times New Roman" w:hAnsi="Times New Roman"/>
          <w:b/>
          <w:sz w:val="18"/>
        </w:rPr>
      </w:pPr>
      <w:r>
        <w:rPr>
          <w:rFonts w:ascii="Times New Roman" w:hAnsi="Times New Roman"/>
          <w:b/>
          <w:sz w:val="18"/>
        </w:rPr>
        <w:t xml:space="preserve"> Nº. DE IDENTIFICAÇÃO DE PESSOA </w:t>
      </w:r>
      <w:r>
        <w:rPr>
          <w:rFonts w:ascii="Times New Roman" w:hAnsi="Times New Roman"/>
          <w:b/>
          <w:sz w:val="18"/>
        </w:rPr>
        <w:t>COLECTIVA:  500 962 707</w:t>
      </w:r>
    </w:p>
    <w:p w14:paraId="47CF0537" w14:textId="77777777" w:rsidR="00764F0F" w:rsidRDefault="00764F0F">
      <w:pPr>
        <w:ind w:left="1560" w:right="1269"/>
        <w:rPr>
          <w:rFonts w:ascii="Times New Roman" w:hAnsi="Times New Roman"/>
          <w:sz w:val="6"/>
          <w:szCs w:val="6"/>
        </w:rPr>
      </w:pPr>
      <w:bookmarkStart w:id="0" w:name="Para"/>
      <w:bookmarkEnd w:id="0"/>
    </w:p>
    <w:p w14:paraId="6C07E6A5" w14:textId="77777777" w:rsidR="00764F0F" w:rsidRDefault="00764F0F">
      <w:pPr>
        <w:ind w:left="1560" w:right="1269"/>
        <w:rPr>
          <w:rFonts w:ascii="Times New Roman" w:hAnsi="Times New Roman"/>
          <w:sz w:val="6"/>
          <w:szCs w:val="6"/>
        </w:rPr>
      </w:pPr>
    </w:p>
    <w:p w14:paraId="062835B7" w14:textId="77777777" w:rsidR="00764F0F" w:rsidRDefault="000C52A9">
      <w:pPr>
        <w:ind w:left="1560" w:right="1269"/>
      </w:pPr>
      <w:r>
        <w:rPr>
          <w:noProof/>
        </w:rPr>
        <mc:AlternateContent>
          <mc:Choice Requires="wps">
            <w:drawing>
              <wp:anchor distT="0" distB="0" distL="114300" distR="114300" simplePos="0" relativeHeight="251657728" behindDoc="0" locked="0" layoutInCell="1" allowOverlap="1" wp14:anchorId="3F1B3D14" wp14:editId="1302FC1D">
                <wp:simplePos x="0" y="0"/>
                <wp:positionH relativeFrom="column">
                  <wp:posOffset>-84453</wp:posOffset>
                </wp:positionH>
                <wp:positionV relativeFrom="paragraph">
                  <wp:posOffset>630</wp:posOffset>
                </wp:positionV>
                <wp:extent cx="3634739" cy="927731"/>
                <wp:effectExtent l="0" t="0" r="0" b="5719"/>
                <wp:wrapNone/>
                <wp:docPr id="1" name="Text Box 6"/>
                <wp:cNvGraphicFramePr/>
                <a:graphic xmlns:a="http://schemas.openxmlformats.org/drawingml/2006/main">
                  <a:graphicData uri="http://schemas.microsoft.com/office/word/2010/wordprocessingShape">
                    <wps:wsp>
                      <wps:cNvSpPr txBox="1"/>
                      <wps:spPr>
                        <a:xfrm>
                          <a:off x="0" y="0"/>
                          <a:ext cx="3634739" cy="927731"/>
                        </a:xfrm>
                        <a:prstGeom prst="rect">
                          <a:avLst/>
                        </a:prstGeom>
                        <a:noFill/>
                        <a:ln>
                          <a:noFill/>
                          <a:prstDash/>
                        </a:ln>
                      </wps:spPr>
                      <wps:txbx>
                        <w:txbxContent>
                          <w:p w14:paraId="1BEAA558" w14:textId="77777777" w:rsidR="00764F0F" w:rsidRDefault="000C52A9">
                            <w:pPr>
                              <w:autoSpaceDE w:val="0"/>
                            </w:pPr>
                            <w:r>
                              <w:rPr>
                                <w:rFonts w:cs="Arial"/>
                                <w:b/>
                                <w:bCs/>
                                <w:sz w:val="16"/>
                                <w:szCs w:val="16"/>
                                <w:u w:val="single"/>
                                <w:lang w:val="pt-PT"/>
                              </w:rPr>
                              <w:t>Associações filiadas</w:t>
                            </w:r>
                            <w:r>
                              <w:rPr>
                                <w:rFonts w:cs="Arial"/>
                                <w:b/>
                                <w:bCs/>
                                <w:sz w:val="16"/>
                                <w:szCs w:val="16"/>
                                <w:lang w:val="pt-PT"/>
                              </w:rPr>
                              <w:t>:</w:t>
                            </w:r>
                          </w:p>
                          <w:p w14:paraId="13D5EEAC" w14:textId="77777777" w:rsidR="00764F0F" w:rsidRDefault="000C52A9">
                            <w:pPr>
                              <w:autoSpaceDE w:val="0"/>
                              <w:rPr>
                                <w:rFonts w:cs="Arial"/>
                                <w:b/>
                                <w:bCs/>
                                <w:sz w:val="14"/>
                                <w:szCs w:val="14"/>
                                <w:lang w:val="pt-PT"/>
                              </w:rPr>
                            </w:pPr>
                            <w:r>
                              <w:rPr>
                                <w:rFonts w:cs="Arial"/>
                                <w:b/>
                                <w:bCs/>
                                <w:sz w:val="14"/>
                                <w:szCs w:val="14"/>
                                <w:lang w:val="pt-PT"/>
                              </w:rPr>
                              <w:t xml:space="preserve">- AIC – Associação dos </w:t>
                            </w:r>
                            <w:proofErr w:type="gramStart"/>
                            <w:r>
                              <w:rPr>
                                <w:rFonts w:cs="Arial"/>
                                <w:b/>
                                <w:bCs/>
                                <w:sz w:val="14"/>
                                <w:szCs w:val="14"/>
                                <w:lang w:val="pt-PT"/>
                              </w:rPr>
                              <w:t>Industrias</w:t>
                            </w:r>
                            <w:proofErr w:type="gramEnd"/>
                            <w:r>
                              <w:rPr>
                                <w:rFonts w:cs="Arial"/>
                                <w:b/>
                                <w:bCs/>
                                <w:sz w:val="14"/>
                                <w:szCs w:val="14"/>
                                <w:lang w:val="pt-PT"/>
                              </w:rPr>
                              <w:t xml:space="preserve"> de Cosmética, Perfumaria e Higiene Corporal</w:t>
                            </w:r>
                          </w:p>
                          <w:p w14:paraId="1131FDD3" w14:textId="77777777" w:rsidR="00764F0F" w:rsidRDefault="000C52A9">
                            <w:pPr>
                              <w:autoSpaceDE w:val="0"/>
                              <w:rPr>
                                <w:rFonts w:cs="Arial"/>
                                <w:b/>
                                <w:bCs/>
                                <w:sz w:val="14"/>
                                <w:szCs w:val="14"/>
                                <w:lang w:val="pt-PT"/>
                              </w:rPr>
                            </w:pPr>
                            <w:r>
                              <w:rPr>
                                <w:rFonts w:cs="Arial"/>
                                <w:b/>
                                <w:bCs/>
                                <w:sz w:val="14"/>
                                <w:szCs w:val="14"/>
                                <w:lang w:val="pt-PT"/>
                              </w:rPr>
                              <w:t>- AISDPCL – Associação dos Industriais de Sabões, Detergentes e Produtos de</w:t>
                            </w:r>
                          </w:p>
                          <w:p w14:paraId="45E34A1D" w14:textId="77777777" w:rsidR="00764F0F" w:rsidRDefault="000C52A9">
                            <w:pPr>
                              <w:autoSpaceDE w:val="0"/>
                              <w:rPr>
                                <w:rFonts w:cs="Arial"/>
                                <w:b/>
                                <w:bCs/>
                                <w:sz w:val="14"/>
                                <w:szCs w:val="14"/>
                                <w:lang w:val="pt-PT"/>
                              </w:rPr>
                            </w:pPr>
                            <w:r>
                              <w:rPr>
                                <w:rFonts w:cs="Arial"/>
                                <w:b/>
                                <w:bCs/>
                                <w:sz w:val="14"/>
                                <w:szCs w:val="14"/>
                                <w:lang w:val="pt-PT"/>
                              </w:rPr>
                              <w:t xml:space="preserve">                      Conservação e Limpeza</w:t>
                            </w:r>
                          </w:p>
                          <w:p w14:paraId="3B9F18CC" w14:textId="77777777" w:rsidR="00764F0F" w:rsidRDefault="000C52A9">
                            <w:pPr>
                              <w:autoSpaceDE w:val="0"/>
                              <w:rPr>
                                <w:rFonts w:cs="Arial"/>
                                <w:b/>
                                <w:bCs/>
                                <w:sz w:val="14"/>
                                <w:szCs w:val="14"/>
                                <w:lang w:val="pt-PT"/>
                              </w:rPr>
                            </w:pPr>
                            <w:r>
                              <w:rPr>
                                <w:rFonts w:cs="Arial"/>
                                <w:b/>
                                <w:bCs/>
                                <w:sz w:val="14"/>
                                <w:szCs w:val="14"/>
                                <w:lang w:val="pt-PT"/>
                              </w:rPr>
                              <w:t>- APA –</w:t>
                            </w:r>
                            <w:r>
                              <w:rPr>
                                <w:rFonts w:cs="Arial"/>
                                <w:b/>
                                <w:bCs/>
                                <w:sz w:val="14"/>
                                <w:szCs w:val="14"/>
                                <w:lang w:val="pt-PT"/>
                              </w:rPr>
                              <w:t xml:space="preserve"> Associação Portuguesa de Aerossóis</w:t>
                            </w:r>
                          </w:p>
                          <w:p w14:paraId="618710EA" w14:textId="77777777" w:rsidR="00764F0F" w:rsidRDefault="000C52A9">
                            <w:pPr>
                              <w:autoSpaceDE w:val="0"/>
                              <w:rPr>
                                <w:rFonts w:cs="Arial"/>
                                <w:b/>
                                <w:bCs/>
                                <w:sz w:val="14"/>
                                <w:szCs w:val="14"/>
                                <w:lang w:val="pt-PT"/>
                              </w:rPr>
                            </w:pPr>
                            <w:r>
                              <w:rPr>
                                <w:rFonts w:cs="Arial"/>
                                <w:b/>
                                <w:bCs/>
                                <w:sz w:val="14"/>
                                <w:szCs w:val="14"/>
                                <w:lang w:val="pt-PT"/>
                              </w:rPr>
                              <w:t>- APPB - Associação Portuguesa de Produtores de Biocombustíveis</w:t>
                            </w:r>
                          </w:p>
                        </w:txbxContent>
                      </wps:txbx>
                      <wps:bodyPr vert="horz" wrap="square" lIns="91440" tIns="45720" rIns="91440" bIns="45720" anchor="t" anchorCtr="0" compatLnSpc="0">
                        <a:noAutofit/>
                      </wps:bodyPr>
                    </wps:wsp>
                  </a:graphicData>
                </a:graphic>
              </wp:anchor>
            </w:drawing>
          </mc:Choice>
          <mc:Fallback>
            <w:pict>
              <v:shapetype w14:anchorId="3F1B3D14" id="_x0000_t202" coordsize="21600,21600" o:spt="202" path="m,l,21600r21600,l21600,xe">
                <v:stroke joinstyle="miter"/>
                <v:path gradientshapeok="t" o:connecttype="rect"/>
              </v:shapetype>
              <v:shape id="Text Box 6" o:spid="_x0000_s1026" type="#_x0000_t202" style="position:absolute;left:0;text-align:left;margin-left:-6.65pt;margin-top:.05pt;width:286.2pt;height:73.0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" filled="f" stroked="f">
                <v:textbox>
                  <w:txbxContent>
                    <w:p w14:paraId="1BEAA558" w14:textId="77777777" w:rsidR="00764F0F" w:rsidRDefault="000C52A9">
                      <w:pPr>
                        <w:autoSpaceDE w:val="0"/>
                      </w:pPr>
                      <w:r>
                        <w:rPr>
                          <w:rFonts w:cs="Arial"/>
                          <w:b/>
                          <w:bCs/>
                          <w:sz w:val="16"/>
                          <w:szCs w:val="16"/>
                          <w:u w:val="single"/>
                          <w:lang w:val="pt-PT"/>
                        </w:rPr>
                        <w:t>Associações filiadas</w:t>
                      </w:r>
                      <w:r>
                        <w:rPr>
                          <w:rFonts w:cs="Arial"/>
                          <w:b/>
                          <w:bCs/>
                          <w:sz w:val="16"/>
                          <w:szCs w:val="16"/>
                          <w:lang w:val="pt-PT"/>
                        </w:rPr>
                        <w:t>:</w:t>
                      </w:r>
                    </w:p>
                    <w:p w14:paraId="13D5EEAC" w14:textId="77777777" w:rsidR="00764F0F" w:rsidRDefault="000C52A9">
                      <w:pPr>
                        <w:autoSpaceDE w:val="0"/>
                        <w:rPr>
                          <w:rFonts w:cs="Arial"/>
                          <w:b/>
                          <w:bCs/>
                          <w:sz w:val="14"/>
                          <w:szCs w:val="14"/>
                          <w:lang w:val="pt-PT"/>
                        </w:rPr>
                      </w:pPr>
                      <w:r>
                        <w:rPr>
                          <w:rFonts w:cs="Arial"/>
                          <w:b/>
                          <w:bCs/>
                          <w:sz w:val="14"/>
                          <w:szCs w:val="14"/>
                          <w:lang w:val="pt-PT"/>
                        </w:rPr>
                        <w:t xml:space="preserve">- AIC – Associação dos </w:t>
                      </w:r>
                      <w:proofErr w:type="gramStart"/>
                      <w:r>
                        <w:rPr>
                          <w:rFonts w:cs="Arial"/>
                          <w:b/>
                          <w:bCs/>
                          <w:sz w:val="14"/>
                          <w:szCs w:val="14"/>
                          <w:lang w:val="pt-PT"/>
                        </w:rPr>
                        <w:t>Industrias</w:t>
                      </w:r>
                      <w:proofErr w:type="gramEnd"/>
                      <w:r>
                        <w:rPr>
                          <w:rFonts w:cs="Arial"/>
                          <w:b/>
                          <w:bCs/>
                          <w:sz w:val="14"/>
                          <w:szCs w:val="14"/>
                          <w:lang w:val="pt-PT"/>
                        </w:rPr>
                        <w:t xml:space="preserve"> de Cosmética, Perfumaria e Higiene Corporal</w:t>
                      </w:r>
                    </w:p>
                    <w:p w14:paraId="1131FDD3" w14:textId="77777777" w:rsidR="00764F0F" w:rsidRDefault="000C52A9">
                      <w:pPr>
                        <w:autoSpaceDE w:val="0"/>
                        <w:rPr>
                          <w:rFonts w:cs="Arial"/>
                          <w:b/>
                          <w:bCs/>
                          <w:sz w:val="14"/>
                          <w:szCs w:val="14"/>
                          <w:lang w:val="pt-PT"/>
                        </w:rPr>
                      </w:pPr>
                      <w:r>
                        <w:rPr>
                          <w:rFonts w:cs="Arial"/>
                          <w:b/>
                          <w:bCs/>
                          <w:sz w:val="14"/>
                          <w:szCs w:val="14"/>
                          <w:lang w:val="pt-PT"/>
                        </w:rPr>
                        <w:t>- AISDPCL – Associação dos Industriais de Sabões, Detergentes e Produtos de</w:t>
                      </w:r>
                    </w:p>
                    <w:p w14:paraId="45E34A1D" w14:textId="77777777" w:rsidR="00764F0F" w:rsidRDefault="000C52A9">
                      <w:pPr>
                        <w:autoSpaceDE w:val="0"/>
                        <w:rPr>
                          <w:rFonts w:cs="Arial"/>
                          <w:b/>
                          <w:bCs/>
                          <w:sz w:val="14"/>
                          <w:szCs w:val="14"/>
                          <w:lang w:val="pt-PT"/>
                        </w:rPr>
                      </w:pPr>
                      <w:r>
                        <w:rPr>
                          <w:rFonts w:cs="Arial"/>
                          <w:b/>
                          <w:bCs/>
                          <w:sz w:val="14"/>
                          <w:szCs w:val="14"/>
                          <w:lang w:val="pt-PT"/>
                        </w:rPr>
                        <w:t xml:space="preserve">                      Conservação e Limpeza</w:t>
                      </w:r>
                    </w:p>
                    <w:p w14:paraId="3B9F18CC" w14:textId="77777777" w:rsidR="00764F0F" w:rsidRDefault="000C52A9">
                      <w:pPr>
                        <w:autoSpaceDE w:val="0"/>
                        <w:rPr>
                          <w:rFonts w:cs="Arial"/>
                          <w:b/>
                          <w:bCs/>
                          <w:sz w:val="14"/>
                          <w:szCs w:val="14"/>
                          <w:lang w:val="pt-PT"/>
                        </w:rPr>
                      </w:pPr>
                      <w:r>
                        <w:rPr>
                          <w:rFonts w:cs="Arial"/>
                          <w:b/>
                          <w:bCs/>
                          <w:sz w:val="14"/>
                          <w:szCs w:val="14"/>
                          <w:lang w:val="pt-PT"/>
                        </w:rPr>
                        <w:t>- APA –</w:t>
                      </w:r>
                      <w:r>
                        <w:rPr>
                          <w:rFonts w:cs="Arial"/>
                          <w:b/>
                          <w:bCs/>
                          <w:sz w:val="14"/>
                          <w:szCs w:val="14"/>
                          <w:lang w:val="pt-PT"/>
                        </w:rPr>
                        <w:t xml:space="preserve"> Associação Portuguesa de Aerossóis</w:t>
                      </w:r>
                    </w:p>
                    <w:p w14:paraId="618710EA" w14:textId="77777777" w:rsidR="00764F0F" w:rsidRDefault="000C52A9">
                      <w:pPr>
                        <w:autoSpaceDE w:val="0"/>
                        <w:rPr>
                          <w:rFonts w:cs="Arial"/>
                          <w:b/>
                          <w:bCs/>
                          <w:sz w:val="14"/>
                          <w:szCs w:val="14"/>
                          <w:lang w:val="pt-PT"/>
                        </w:rPr>
                      </w:pPr>
                      <w:r>
                        <w:rPr>
                          <w:rFonts w:cs="Arial"/>
                          <w:b/>
                          <w:bCs/>
                          <w:sz w:val="14"/>
                          <w:szCs w:val="14"/>
                          <w:lang w:val="pt-PT"/>
                        </w:rPr>
                        <w:t>- APPB - Associação Portuguesa de Produtores de Biocombustíveis</w:t>
                      </w:r>
                    </w:p>
                  </w:txbxContent>
                </v:textbox>
              </v:shape>
            </w:pict>
          </mc:Fallback>
        </mc:AlternateContent>
      </w:r>
    </w:p>
    <w:p w14:paraId="4FA16500" w14:textId="77777777" w:rsidR="00764F0F" w:rsidRDefault="00764F0F">
      <w:pPr>
        <w:ind w:left="1560" w:right="1269"/>
        <w:rPr>
          <w:rFonts w:ascii="Times New Roman" w:hAnsi="Times New Roman"/>
          <w:sz w:val="6"/>
          <w:szCs w:val="6"/>
        </w:rPr>
      </w:pPr>
    </w:p>
    <w:p w14:paraId="7DACA1B0" w14:textId="77777777" w:rsidR="00764F0F" w:rsidRDefault="00764F0F">
      <w:pPr>
        <w:ind w:left="1560" w:right="1269"/>
        <w:rPr>
          <w:rFonts w:ascii="Times New Roman" w:hAnsi="Times New Roman"/>
          <w:sz w:val="6"/>
          <w:szCs w:val="6"/>
        </w:rPr>
      </w:pPr>
    </w:p>
    <w:p w14:paraId="62C3E455" w14:textId="77777777" w:rsidR="00764F0F" w:rsidRDefault="00764F0F">
      <w:pPr>
        <w:ind w:left="1560" w:right="1269"/>
        <w:rPr>
          <w:rFonts w:ascii="Times New Roman" w:hAnsi="Times New Roman"/>
          <w:sz w:val="6"/>
          <w:szCs w:val="6"/>
        </w:rPr>
      </w:pPr>
    </w:p>
    <w:p w14:paraId="101B736A" w14:textId="77777777" w:rsidR="00764F0F" w:rsidRDefault="00764F0F">
      <w:pPr>
        <w:ind w:left="1560" w:right="1269"/>
        <w:rPr>
          <w:rFonts w:ascii="Times New Roman" w:hAnsi="Times New Roman"/>
          <w:sz w:val="6"/>
          <w:szCs w:val="6"/>
        </w:rPr>
      </w:pPr>
    </w:p>
    <w:p w14:paraId="08275784" w14:textId="77777777" w:rsidR="00764F0F" w:rsidRDefault="00764F0F">
      <w:pPr>
        <w:ind w:left="1560" w:right="1269"/>
        <w:rPr>
          <w:rFonts w:ascii="Times New Roman" w:hAnsi="Times New Roman"/>
          <w:sz w:val="6"/>
          <w:szCs w:val="6"/>
        </w:rPr>
      </w:pPr>
    </w:p>
    <w:p w14:paraId="68552AA8" w14:textId="77777777" w:rsidR="00764F0F" w:rsidRDefault="00764F0F">
      <w:pPr>
        <w:ind w:left="1560" w:right="1269"/>
        <w:rPr>
          <w:rFonts w:ascii="Times New Roman" w:hAnsi="Times New Roman"/>
          <w:sz w:val="6"/>
          <w:szCs w:val="6"/>
        </w:rPr>
      </w:pPr>
    </w:p>
    <w:p w14:paraId="265268B7" w14:textId="77777777" w:rsidR="00764F0F" w:rsidRDefault="00764F0F">
      <w:pPr>
        <w:ind w:left="1560" w:right="1269"/>
        <w:rPr>
          <w:rFonts w:ascii="Times New Roman" w:hAnsi="Times New Roman"/>
          <w:sz w:val="6"/>
          <w:szCs w:val="6"/>
        </w:rPr>
      </w:pPr>
    </w:p>
    <w:p w14:paraId="42880DB8" w14:textId="77777777" w:rsidR="00764F0F" w:rsidRDefault="00764F0F">
      <w:pPr>
        <w:ind w:left="1560" w:right="1269"/>
        <w:rPr>
          <w:rFonts w:ascii="Times New Roman" w:hAnsi="Times New Roman"/>
          <w:sz w:val="6"/>
          <w:szCs w:val="6"/>
        </w:rPr>
      </w:pPr>
    </w:p>
    <w:p w14:paraId="7883327E" w14:textId="77777777" w:rsidR="00764F0F" w:rsidRDefault="00764F0F">
      <w:pPr>
        <w:ind w:left="1560" w:right="1269"/>
        <w:rPr>
          <w:rFonts w:ascii="Times New Roman" w:hAnsi="Times New Roman"/>
          <w:sz w:val="6"/>
          <w:szCs w:val="6"/>
        </w:rPr>
      </w:pPr>
    </w:p>
    <w:p w14:paraId="5C350621" w14:textId="77777777" w:rsidR="00764F0F" w:rsidRDefault="00764F0F">
      <w:pPr>
        <w:ind w:left="1560" w:right="1269"/>
        <w:rPr>
          <w:rFonts w:ascii="Times New Roman" w:hAnsi="Times New Roman"/>
          <w:sz w:val="6"/>
          <w:szCs w:val="6"/>
        </w:rPr>
      </w:pPr>
    </w:p>
    <w:p w14:paraId="793911A7" w14:textId="77777777" w:rsidR="00764F0F" w:rsidRDefault="00764F0F">
      <w:pPr>
        <w:ind w:left="1560" w:right="1269"/>
        <w:rPr>
          <w:rFonts w:ascii="Times New Roman" w:hAnsi="Times New Roman"/>
          <w:sz w:val="6"/>
          <w:szCs w:val="6"/>
        </w:rPr>
      </w:pPr>
    </w:p>
    <w:tbl>
      <w:tblPr>
        <w:tblW w:w="4717" w:type="dxa"/>
        <w:tblInd w:w="5353" w:type="dxa"/>
        <w:tblCellMar>
          <w:left w:w="10" w:type="dxa"/>
          <w:right w:w="10" w:type="dxa"/>
        </w:tblCellMar>
        <w:tblLook w:val="04A0" w:firstRow="1" w:lastRow="0" w:firstColumn="1" w:lastColumn="0" w:noHBand="0" w:noVBand="1"/>
      </w:tblPr>
      <w:tblGrid>
        <w:gridCol w:w="4717"/>
      </w:tblGrid>
      <w:tr w:rsidR="00764F0F" w14:paraId="18A5C190" w14:textId="77777777">
        <w:tblPrEx>
          <w:tblCellMar>
            <w:top w:w="0" w:type="dxa"/>
            <w:bottom w:w="0" w:type="dxa"/>
          </w:tblCellMar>
        </w:tblPrEx>
        <w:trPr>
          <w:trHeight w:val="920"/>
        </w:trPr>
        <w:tc>
          <w:tcPr>
            <w:tcW w:w="4717" w:type="dxa"/>
            <w:shd w:val="clear" w:color="auto" w:fill="auto"/>
            <w:tcMar>
              <w:top w:w="0" w:type="dxa"/>
              <w:left w:w="108" w:type="dxa"/>
              <w:bottom w:w="0" w:type="dxa"/>
              <w:right w:w="108" w:type="dxa"/>
            </w:tcMar>
          </w:tcPr>
          <w:p w14:paraId="1D672290" w14:textId="77777777" w:rsidR="00764F0F" w:rsidRDefault="00764F0F">
            <w:pPr>
              <w:ind w:right="601"/>
              <w:rPr>
                <w:rFonts w:ascii="Calibri" w:hAnsi="Calibri"/>
                <w:sz w:val="24"/>
              </w:rPr>
            </w:pPr>
          </w:p>
        </w:tc>
      </w:tr>
    </w:tbl>
    <w:p w14:paraId="29FF5D39" w14:textId="77777777" w:rsidR="00764F0F" w:rsidRDefault="00764F0F">
      <w:pPr>
        <w:ind w:left="1560" w:right="1269"/>
        <w:rPr>
          <w:rFonts w:ascii="Times New Roman" w:hAnsi="Times New Roman"/>
          <w:sz w:val="6"/>
          <w:szCs w:val="6"/>
        </w:rPr>
      </w:pPr>
    </w:p>
    <w:p w14:paraId="44A8181E" w14:textId="77777777" w:rsidR="00764F0F" w:rsidRDefault="00764F0F">
      <w:pPr>
        <w:ind w:left="1560" w:right="1269"/>
        <w:rPr>
          <w:rFonts w:ascii="Times New Roman" w:hAnsi="Times New Roman"/>
          <w:sz w:val="6"/>
          <w:szCs w:val="6"/>
        </w:rPr>
      </w:pPr>
    </w:p>
    <w:p w14:paraId="7FB20A84" w14:textId="77777777" w:rsidR="00764F0F" w:rsidRDefault="00764F0F">
      <w:pPr>
        <w:ind w:left="1560" w:right="1269"/>
        <w:rPr>
          <w:rFonts w:ascii="Times New Roman" w:hAnsi="Times New Roman"/>
          <w:sz w:val="6"/>
          <w:szCs w:val="6"/>
        </w:rPr>
      </w:pPr>
    </w:p>
    <w:p w14:paraId="6C4A5F10" w14:textId="77777777" w:rsidR="00764F0F" w:rsidRDefault="00764F0F">
      <w:pPr>
        <w:ind w:left="1560" w:right="1269"/>
        <w:rPr>
          <w:rFonts w:ascii="Times New Roman" w:hAnsi="Times New Roman"/>
          <w:sz w:val="6"/>
          <w:szCs w:val="6"/>
        </w:rPr>
      </w:pPr>
    </w:p>
    <w:p w14:paraId="7C2DE56A" w14:textId="77777777" w:rsidR="00764F0F" w:rsidRDefault="00764F0F">
      <w:pPr>
        <w:ind w:left="1560" w:right="1269"/>
        <w:rPr>
          <w:rFonts w:ascii="Times New Roman" w:hAnsi="Times New Roman"/>
          <w:sz w:val="6"/>
          <w:szCs w:val="6"/>
        </w:rPr>
      </w:pPr>
    </w:p>
    <w:p w14:paraId="07C71669" w14:textId="77777777" w:rsidR="00764F0F" w:rsidRDefault="00764F0F">
      <w:pPr>
        <w:ind w:left="1560" w:right="1269"/>
        <w:rPr>
          <w:rFonts w:ascii="Times New Roman" w:hAnsi="Times New Roman"/>
          <w:sz w:val="6"/>
          <w:szCs w:val="6"/>
        </w:rPr>
      </w:pPr>
    </w:p>
    <w:p w14:paraId="7BB37A34" w14:textId="77777777" w:rsidR="00764F0F" w:rsidRDefault="00764F0F">
      <w:pPr>
        <w:ind w:left="1560" w:right="1269"/>
        <w:rPr>
          <w:rFonts w:ascii="Times New Roman" w:hAnsi="Times New Roman"/>
          <w:sz w:val="6"/>
          <w:szCs w:val="6"/>
        </w:rPr>
      </w:pPr>
    </w:p>
    <w:p w14:paraId="2F6428B5" w14:textId="77777777" w:rsidR="00764F0F" w:rsidRDefault="00764F0F">
      <w:pPr>
        <w:ind w:left="1560" w:right="1269"/>
        <w:rPr>
          <w:rFonts w:ascii="Times New Roman" w:hAnsi="Times New Roman"/>
          <w:sz w:val="6"/>
          <w:szCs w:val="6"/>
        </w:rPr>
      </w:pPr>
    </w:p>
    <w:p w14:paraId="307A7F7F" w14:textId="77777777" w:rsidR="00764F0F" w:rsidRDefault="00764F0F">
      <w:pPr>
        <w:ind w:left="1560" w:right="1269"/>
        <w:rPr>
          <w:rFonts w:ascii="Times New Roman" w:hAnsi="Times New Roman"/>
          <w:sz w:val="6"/>
          <w:szCs w:val="6"/>
        </w:rPr>
      </w:pPr>
    </w:p>
    <w:p w14:paraId="6679F982" w14:textId="77777777" w:rsidR="00764F0F" w:rsidRDefault="00764F0F">
      <w:pPr>
        <w:ind w:left="1560" w:right="1269"/>
        <w:rPr>
          <w:rFonts w:ascii="Times New Roman" w:hAnsi="Times New Roman"/>
          <w:sz w:val="6"/>
          <w:szCs w:val="6"/>
        </w:rPr>
      </w:pPr>
    </w:p>
    <w:p w14:paraId="7065F047" w14:textId="77777777" w:rsidR="00764F0F" w:rsidRDefault="000C52A9">
      <w:pPr>
        <w:ind w:left="851"/>
        <w:rPr>
          <w:rFonts w:ascii="Calibri" w:eastAsia="Calibri" w:hAnsi="Calibri" w:cs="Calibri"/>
          <w:b/>
          <w:bCs/>
          <w:sz w:val="22"/>
          <w:szCs w:val="22"/>
          <w:lang w:val="pt-PT" w:eastAsia="en-US"/>
        </w:rPr>
      </w:pPr>
      <w:r>
        <w:rPr>
          <w:rFonts w:ascii="Calibri" w:eastAsia="Calibri" w:hAnsi="Calibri" w:cs="Calibri"/>
          <w:b/>
          <w:bCs/>
          <w:sz w:val="22"/>
          <w:szCs w:val="22"/>
          <w:lang w:val="pt-PT" w:eastAsia="en-US"/>
        </w:rPr>
        <w:t xml:space="preserve">Informação do TOC da Associação: </w:t>
      </w:r>
    </w:p>
    <w:p w14:paraId="11BFBDE5" w14:textId="77777777" w:rsidR="00764F0F" w:rsidRDefault="000C52A9">
      <w:pPr>
        <w:ind w:left="851"/>
        <w:rPr>
          <w:rFonts w:ascii="Calibri" w:eastAsia="Calibri" w:hAnsi="Calibri" w:cs="Calibri"/>
          <w:sz w:val="22"/>
          <w:szCs w:val="22"/>
          <w:lang w:val="pt-PT" w:eastAsia="en-US"/>
        </w:rPr>
      </w:pPr>
      <w:r>
        <w:rPr>
          <w:rFonts w:ascii="Calibri" w:eastAsia="Calibri" w:hAnsi="Calibri" w:cs="Calibri"/>
          <w:sz w:val="22"/>
          <w:szCs w:val="22"/>
          <w:lang w:val="pt-PT" w:eastAsia="en-US"/>
        </w:rPr>
        <w:t xml:space="preserve">Findo o ano de 2020 findaram também a aplicação dos apoios que ocorreram nesse ano em face da </w:t>
      </w:r>
      <w:r>
        <w:rPr>
          <w:rFonts w:ascii="Calibri" w:eastAsia="Calibri" w:hAnsi="Calibri" w:cs="Calibri"/>
          <w:sz w:val="22"/>
          <w:szCs w:val="22"/>
          <w:lang w:val="pt-PT" w:eastAsia="en-US"/>
        </w:rPr>
        <w:t>covid-19. Com o presente novo ano foram no final da passada semana publicados os novos apoios, embora similares aos praticados em 2020, mas eventualmente mais adequados ao presente quadro pandémico. Assim, estão em curso para este arranque de 2021 os apoio</w:t>
      </w:r>
      <w:r>
        <w:rPr>
          <w:rFonts w:ascii="Calibri" w:eastAsia="Calibri" w:hAnsi="Calibri" w:cs="Calibri"/>
          <w:sz w:val="22"/>
          <w:szCs w:val="22"/>
          <w:lang w:val="pt-PT" w:eastAsia="en-US"/>
        </w:rPr>
        <w:t>s que infra se identificam:</w:t>
      </w:r>
    </w:p>
    <w:p w14:paraId="03E4B577" w14:textId="77777777" w:rsidR="00764F0F" w:rsidRDefault="00764F0F">
      <w:pPr>
        <w:ind w:left="851"/>
        <w:rPr>
          <w:rFonts w:ascii="Calibri" w:eastAsia="Calibri" w:hAnsi="Calibri" w:cs="Calibri"/>
          <w:sz w:val="22"/>
          <w:szCs w:val="22"/>
          <w:lang w:val="pt-PT" w:eastAsia="en-US"/>
        </w:rPr>
      </w:pPr>
    </w:p>
    <w:p w14:paraId="78123D57" w14:textId="77777777" w:rsidR="00764F0F" w:rsidRDefault="000C52A9">
      <w:pPr>
        <w:numPr>
          <w:ilvl w:val="0"/>
          <w:numId w:val="2"/>
        </w:numPr>
        <w:ind w:left="1134" w:hanging="283"/>
        <w:rPr>
          <w:rFonts w:ascii="Calibri" w:hAnsi="Calibri" w:cs="Calibri"/>
          <w:sz w:val="22"/>
          <w:szCs w:val="22"/>
          <w:lang w:val="pt-PT" w:eastAsia="en-US"/>
        </w:rPr>
      </w:pPr>
      <w:proofErr w:type="spellStart"/>
      <w:r>
        <w:rPr>
          <w:rFonts w:ascii="Calibri" w:hAnsi="Calibri" w:cs="Calibri"/>
          <w:sz w:val="22"/>
          <w:szCs w:val="22"/>
          <w:lang w:val="pt-PT" w:eastAsia="en-US"/>
        </w:rPr>
        <w:t>Lay</w:t>
      </w:r>
      <w:proofErr w:type="spellEnd"/>
      <w:r>
        <w:rPr>
          <w:rFonts w:ascii="Calibri" w:hAnsi="Calibri" w:cs="Calibri"/>
          <w:sz w:val="22"/>
          <w:szCs w:val="22"/>
          <w:lang w:val="pt-PT" w:eastAsia="en-US"/>
        </w:rPr>
        <w:t xml:space="preserve"> </w:t>
      </w:r>
      <w:proofErr w:type="spellStart"/>
      <w:r>
        <w:rPr>
          <w:rFonts w:ascii="Calibri" w:hAnsi="Calibri" w:cs="Calibri"/>
          <w:sz w:val="22"/>
          <w:szCs w:val="22"/>
          <w:lang w:val="pt-PT" w:eastAsia="en-US"/>
        </w:rPr>
        <w:t>Off</w:t>
      </w:r>
      <w:proofErr w:type="spellEnd"/>
      <w:r>
        <w:rPr>
          <w:rFonts w:ascii="Calibri" w:hAnsi="Calibri" w:cs="Calibri"/>
          <w:sz w:val="22"/>
          <w:szCs w:val="22"/>
          <w:lang w:val="pt-PT" w:eastAsia="en-US"/>
        </w:rPr>
        <w:t xml:space="preserve"> (regime antigo previsto no código do trabalho)</w:t>
      </w:r>
    </w:p>
    <w:p w14:paraId="6EC82BC3" w14:textId="77777777" w:rsidR="00764F0F" w:rsidRDefault="000C52A9">
      <w:pPr>
        <w:numPr>
          <w:ilvl w:val="0"/>
          <w:numId w:val="1"/>
        </w:numPr>
        <w:ind w:left="1134" w:hanging="283"/>
        <w:rPr>
          <w:rFonts w:ascii="Calibri" w:hAnsi="Calibri" w:cs="Calibri"/>
          <w:sz w:val="22"/>
          <w:szCs w:val="22"/>
          <w:lang w:val="pt-PT" w:eastAsia="en-US"/>
        </w:rPr>
      </w:pPr>
      <w:proofErr w:type="spellStart"/>
      <w:r>
        <w:rPr>
          <w:rFonts w:ascii="Calibri" w:hAnsi="Calibri" w:cs="Calibri"/>
          <w:sz w:val="22"/>
          <w:szCs w:val="22"/>
          <w:lang w:val="pt-PT" w:eastAsia="en-US"/>
        </w:rPr>
        <w:t>LayOff</w:t>
      </w:r>
      <w:proofErr w:type="spellEnd"/>
      <w:r>
        <w:rPr>
          <w:rFonts w:ascii="Calibri" w:hAnsi="Calibri" w:cs="Calibri"/>
          <w:sz w:val="22"/>
          <w:szCs w:val="22"/>
          <w:lang w:val="pt-PT" w:eastAsia="en-US"/>
        </w:rPr>
        <w:t xml:space="preserve"> Simplificado (para os setores obrigados por lei a encerrarem)</w:t>
      </w:r>
    </w:p>
    <w:p w14:paraId="1043CD1B" w14:textId="77777777" w:rsidR="00764F0F" w:rsidRDefault="000C52A9">
      <w:pPr>
        <w:numPr>
          <w:ilvl w:val="0"/>
          <w:numId w:val="1"/>
        </w:numPr>
        <w:ind w:left="1134" w:hanging="283"/>
        <w:rPr>
          <w:rFonts w:ascii="Calibri" w:hAnsi="Calibri" w:cs="Calibri"/>
          <w:sz w:val="22"/>
          <w:szCs w:val="22"/>
          <w:lang w:val="pt-PT" w:eastAsia="en-US"/>
        </w:rPr>
      </w:pPr>
      <w:r>
        <w:rPr>
          <w:rFonts w:ascii="Calibri" w:hAnsi="Calibri" w:cs="Calibri"/>
          <w:sz w:val="22"/>
          <w:szCs w:val="22"/>
          <w:lang w:val="pt-PT" w:eastAsia="en-US"/>
        </w:rPr>
        <w:t>Apoio à Retoma Progressiva da Atividade (para os setores não obrigados por lei a encerrarem)</w:t>
      </w:r>
    </w:p>
    <w:p w14:paraId="142042A1" w14:textId="77777777" w:rsidR="00764F0F" w:rsidRDefault="000C52A9">
      <w:pPr>
        <w:numPr>
          <w:ilvl w:val="0"/>
          <w:numId w:val="1"/>
        </w:numPr>
        <w:ind w:left="1134" w:hanging="283"/>
        <w:rPr>
          <w:rFonts w:ascii="Calibri" w:hAnsi="Calibri" w:cs="Calibri"/>
          <w:sz w:val="22"/>
          <w:szCs w:val="22"/>
          <w:lang w:val="pt-PT" w:eastAsia="en-US"/>
        </w:rPr>
      </w:pPr>
      <w:r>
        <w:rPr>
          <w:rFonts w:ascii="Calibri" w:hAnsi="Calibri" w:cs="Calibri"/>
          <w:sz w:val="22"/>
          <w:szCs w:val="22"/>
          <w:lang w:val="pt-PT" w:eastAsia="en-US"/>
        </w:rPr>
        <w:t>Apoio do I</w:t>
      </w:r>
      <w:r>
        <w:rPr>
          <w:rFonts w:ascii="Calibri" w:hAnsi="Calibri" w:cs="Calibri"/>
          <w:sz w:val="22"/>
          <w:szCs w:val="22"/>
          <w:lang w:val="pt-PT" w:eastAsia="en-US"/>
        </w:rPr>
        <w:t>EFP de 2 salários por trabalhador</w:t>
      </w:r>
    </w:p>
    <w:p w14:paraId="34A8C858" w14:textId="77777777" w:rsidR="00764F0F" w:rsidRDefault="000C52A9">
      <w:pPr>
        <w:numPr>
          <w:ilvl w:val="0"/>
          <w:numId w:val="1"/>
        </w:numPr>
        <w:ind w:left="1134" w:hanging="283"/>
        <w:rPr>
          <w:rFonts w:ascii="Calibri" w:hAnsi="Calibri" w:cs="Calibri"/>
          <w:sz w:val="22"/>
          <w:szCs w:val="22"/>
          <w:lang w:val="pt-PT" w:eastAsia="en-US"/>
        </w:rPr>
      </w:pPr>
      <w:r>
        <w:rPr>
          <w:rFonts w:ascii="Calibri" w:hAnsi="Calibri" w:cs="Calibri"/>
          <w:sz w:val="22"/>
          <w:szCs w:val="22"/>
          <w:lang w:val="pt-PT" w:eastAsia="en-US"/>
        </w:rPr>
        <w:t>Apoio aos Sócios-Gerentes</w:t>
      </w:r>
    </w:p>
    <w:p w14:paraId="4A1AB81A" w14:textId="77777777" w:rsidR="00764F0F" w:rsidRDefault="000C52A9">
      <w:pPr>
        <w:numPr>
          <w:ilvl w:val="0"/>
          <w:numId w:val="1"/>
        </w:numPr>
        <w:ind w:left="1134" w:hanging="283"/>
        <w:rPr>
          <w:rFonts w:ascii="Calibri" w:hAnsi="Calibri" w:cs="Calibri"/>
          <w:sz w:val="22"/>
          <w:szCs w:val="22"/>
          <w:lang w:val="pt-PT" w:eastAsia="en-US"/>
        </w:rPr>
      </w:pPr>
      <w:r>
        <w:rPr>
          <w:rFonts w:ascii="Calibri" w:hAnsi="Calibri" w:cs="Calibri"/>
          <w:sz w:val="22"/>
          <w:szCs w:val="22"/>
          <w:lang w:val="pt-PT" w:eastAsia="en-US"/>
        </w:rPr>
        <w:t>Apoio aos Trabalhadores Independentes e Empresários</w:t>
      </w:r>
    </w:p>
    <w:p w14:paraId="7E159901" w14:textId="77777777" w:rsidR="00764F0F" w:rsidRDefault="000C52A9">
      <w:pPr>
        <w:numPr>
          <w:ilvl w:val="0"/>
          <w:numId w:val="1"/>
        </w:numPr>
        <w:ind w:left="1134" w:hanging="283"/>
        <w:rPr>
          <w:rFonts w:ascii="Calibri" w:hAnsi="Calibri" w:cs="Calibri"/>
          <w:sz w:val="22"/>
          <w:szCs w:val="22"/>
          <w:lang w:val="pt-PT" w:eastAsia="en-US"/>
        </w:rPr>
      </w:pPr>
      <w:r>
        <w:rPr>
          <w:rFonts w:ascii="Calibri" w:hAnsi="Calibri" w:cs="Calibri"/>
          <w:sz w:val="22"/>
          <w:szCs w:val="22"/>
          <w:lang w:val="pt-PT" w:eastAsia="en-US"/>
        </w:rPr>
        <w:t xml:space="preserve">Linhas de </w:t>
      </w:r>
      <w:proofErr w:type="gramStart"/>
      <w:r>
        <w:rPr>
          <w:rFonts w:ascii="Calibri" w:hAnsi="Calibri" w:cs="Calibri"/>
          <w:sz w:val="22"/>
          <w:szCs w:val="22"/>
          <w:lang w:val="pt-PT" w:eastAsia="en-US"/>
        </w:rPr>
        <w:t>credito/financiamento</w:t>
      </w:r>
      <w:proofErr w:type="gramEnd"/>
    </w:p>
    <w:p w14:paraId="1D9BBA38" w14:textId="77777777" w:rsidR="00764F0F" w:rsidRDefault="000C52A9">
      <w:pPr>
        <w:numPr>
          <w:ilvl w:val="0"/>
          <w:numId w:val="1"/>
        </w:numPr>
        <w:ind w:left="1134" w:hanging="283"/>
        <w:rPr>
          <w:rFonts w:ascii="Calibri" w:hAnsi="Calibri" w:cs="Calibri"/>
          <w:sz w:val="22"/>
          <w:szCs w:val="22"/>
          <w:lang w:val="pt-PT" w:eastAsia="en-US"/>
        </w:rPr>
      </w:pPr>
      <w:r>
        <w:rPr>
          <w:rFonts w:ascii="Calibri" w:hAnsi="Calibri" w:cs="Calibri"/>
          <w:sz w:val="22"/>
          <w:szCs w:val="22"/>
          <w:lang w:val="pt-PT" w:eastAsia="en-US"/>
        </w:rPr>
        <w:t>Programa APOIAR (financiamento a fundo perdido)</w:t>
      </w:r>
    </w:p>
    <w:p w14:paraId="7A43BDBF" w14:textId="77777777" w:rsidR="00764F0F" w:rsidRDefault="000C52A9">
      <w:pPr>
        <w:numPr>
          <w:ilvl w:val="0"/>
          <w:numId w:val="1"/>
        </w:numPr>
        <w:ind w:left="1134" w:hanging="283"/>
        <w:rPr>
          <w:rFonts w:ascii="Calibri" w:hAnsi="Calibri" w:cs="Calibri"/>
          <w:sz w:val="22"/>
          <w:szCs w:val="22"/>
          <w:lang w:val="pt-PT" w:eastAsia="en-US"/>
        </w:rPr>
      </w:pPr>
      <w:r>
        <w:rPr>
          <w:rFonts w:ascii="Calibri" w:hAnsi="Calibri" w:cs="Calibri"/>
          <w:sz w:val="22"/>
          <w:szCs w:val="22"/>
          <w:lang w:val="pt-PT" w:eastAsia="en-US"/>
        </w:rPr>
        <w:t xml:space="preserve">Apoio para pagamento de rendas (financiamento a fundo </w:t>
      </w:r>
      <w:r>
        <w:rPr>
          <w:rFonts w:ascii="Calibri" w:hAnsi="Calibri" w:cs="Calibri"/>
          <w:sz w:val="22"/>
          <w:szCs w:val="22"/>
          <w:lang w:val="pt-PT" w:eastAsia="en-US"/>
        </w:rPr>
        <w:t>perdido)</w:t>
      </w:r>
    </w:p>
    <w:p w14:paraId="13D34C90" w14:textId="77777777" w:rsidR="00764F0F" w:rsidRDefault="00764F0F">
      <w:pPr>
        <w:ind w:left="851"/>
        <w:rPr>
          <w:rFonts w:ascii="Calibri" w:eastAsia="Calibri" w:hAnsi="Calibri" w:cs="Calibri"/>
          <w:sz w:val="22"/>
          <w:szCs w:val="22"/>
          <w:lang w:val="pt-PT" w:eastAsia="en-US"/>
        </w:rPr>
      </w:pPr>
    </w:p>
    <w:p w14:paraId="2C2CF3AD" w14:textId="77777777" w:rsidR="00764F0F" w:rsidRDefault="000C52A9">
      <w:pPr>
        <w:ind w:left="851"/>
        <w:rPr>
          <w:rFonts w:ascii="Calibri" w:eastAsia="Calibri" w:hAnsi="Calibri" w:cs="Calibri"/>
          <w:sz w:val="22"/>
          <w:szCs w:val="22"/>
          <w:lang w:val="pt-PT" w:eastAsia="en-US"/>
        </w:rPr>
      </w:pPr>
      <w:r>
        <w:rPr>
          <w:rFonts w:ascii="Calibri" w:eastAsia="Calibri" w:hAnsi="Calibri" w:cs="Calibri"/>
          <w:sz w:val="22"/>
          <w:szCs w:val="22"/>
          <w:lang w:val="pt-PT" w:eastAsia="en-US"/>
        </w:rPr>
        <w:t>Anexa-se:</w:t>
      </w:r>
    </w:p>
    <w:p w14:paraId="538CF2A3" w14:textId="77777777" w:rsidR="00764F0F" w:rsidRDefault="00764F0F">
      <w:pPr>
        <w:ind w:left="851"/>
        <w:rPr>
          <w:rFonts w:ascii="Calibri" w:eastAsia="Calibri" w:hAnsi="Calibri" w:cs="Calibri"/>
          <w:sz w:val="22"/>
          <w:szCs w:val="22"/>
          <w:lang w:val="pt-PT" w:eastAsia="en-US"/>
        </w:rPr>
      </w:pPr>
    </w:p>
    <w:p w14:paraId="6145394B" w14:textId="77777777" w:rsidR="00764F0F" w:rsidRDefault="000C52A9">
      <w:pPr>
        <w:numPr>
          <w:ilvl w:val="0"/>
          <w:numId w:val="3"/>
        </w:numPr>
        <w:ind w:left="1276"/>
        <w:rPr>
          <w:rFonts w:ascii="Calibri" w:hAnsi="Calibri" w:cs="Calibri"/>
          <w:sz w:val="22"/>
          <w:szCs w:val="22"/>
          <w:lang w:val="pt-PT" w:eastAsia="en-US"/>
        </w:rPr>
      </w:pPr>
      <w:r>
        <w:rPr>
          <w:rFonts w:ascii="Calibri" w:hAnsi="Calibri" w:cs="Calibri"/>
          <w:sz w:val="22"/>
          <w:szCs w:val="22"/>
          <w:lang w:val="pt-PT" w:eastAsia="en-US"/>
        </w:rPr>
        <w:t>Apresentação em slides das medidas de apoio à economia e ao emprego da autoria do Governo.</w:t>
      </w:r>
    </w:p>
    <w:p w14:paraId="37B3E988" w14:textId="77777777" w:rsidR="00764F0F" w:rsidRDefault="00764F0F">
      <w:pPr>
        <w:ind w:left="1276"/>
        <w:rPr>
          <w:rFonts w:ascii="Calibri" w:eastAsia="Calibri" w:hAnsi="Calibri" w:cs="Calibri"/>
          <w:sz w:val="22"/>
          <w:szCs w:val="22"/>
          <w:lang w:val="pt-PT" w:eastAsia="en-US"/>
        </w:rPr>
      </w:pPr>
    </w:p>
    <w:p w14:paraId="0C12E6D8" w14:textId="77777777" w:rsidR="00764F0F" w:rsidRDefault="000C52A9">
      <w:pPr>
        <w:numPr>
          <w:ilvl w:val="0"/>
          <w:numId w:val="3"/>
        </w:numPr>
        <w:ind w:left="1276"/>
      </w:pPr>
      <w:hyperlink r:id="rId7" w:history="1">
        <w:r>
          <w:rPr>
            <w:rFonts w:ascii="Calibri" w:hAnsi="Calibri" w:cs="Calibri"/>
            <w:sz w:val="22"/>
            <w:szCs w:val="22"/>
            <w:lang w:val="pt-PT" w:eastAsia="en-US"/>
          </w:rPr>
          <w:t>Decreto n.º 3-A/2021, de 14/01 (DR n.º 9-1º Suplemento, Série I)</w:t>
        </w:r>
      </w:hyperlink>
      <w:r>
        <w:rPr>
          <w:rFonts w:ascii="Calibri" w:hAnsi="Calibri" w:cs="Calibri"/>
          <w:sz w:val="22"/>
          <w:szCs w:val="22"/>
          <w:lang w:val="pt-PT" w:eastAsia="en-US"/>
        </w:rPr>
        <w:t xml:space="preserve"> - R</w:t>
      </w:r>
      <w:r>
        <w:rPr>
          <w:rFonts w:ascii="Calibri" w:hAnsi="Calibri" w:cs="Calibri"/>
          <w:sz w:val="22"/>
          <w:szCs w:val="22"/>
          <w:lang w:val="pt-PT" w:eastAsia="en-US"/>
        </w:rPr>
        <w:t xml:space="preserve">egulamenta o estado de emergência decretado pelo Presidente da República, </w:t>
      </w:r>
      <w:r>
        <w:rPr>
          <w:rFonts w:ascii="Calibri" w:hAnsi="Calibri" w:cs="Calibri"/>
          <w:sz w:val="22"/>
          <w:szCs w:val="22"/>
          <w:u w:val="single"/>
          <w:lang w:val="pt-PT" w:eastAsia="en-US"/>
        </w:rPr>
        <w:t>no qual se determina as entidades obrigadas e não obrigadas ao encerramento</w:t>
      </w:r>
      <w:r>
        <w:rPr>
          <w:rFonts w:ascii="Calibri" w:hAnsi="Calibri" w:cs="Calibri"/>
          <w:sz w:val="22"/>
          <w:szCs w:val="22"/>
          <w:lang w:val="pt-PT" w:eastAsia="en-US"/>
        </w:rPr>
        <w:t xml:space="preserve"> e em que moldes se aplica o “encerramento”, conforme respetivos Anexos I e II, </w:t>
      </w:r>
      <w:proofErr w:type="gramStart"/>
      <w:r>
        <w:rPr>
          <w:rFonts w:ascii="Calibri" w:hAnsi="Calibri" w:cs="Calibri"/>
          <w:sz w:val="22"/>
          <w:szCs w:val="22"/>
          <w:lang w:val="pt-PT" w:eastAsia="en-US"/>
        </w:rPr>
        <w:t>paginas</w:t>
      </w:r>
      <w:proofErr w:type="gramEnd"/>
      <w:r>
        <w:rPr>
          <w:rFonts w:ascii="Calibri" w:hAnsi="Calibri" w:cs="Calibri"/>
          <w:sz w:val="22"/>
          <w:szCs w:val="22"/>
          <w:lang w:val="pt-PT" w:eastAsia="en-US"/>
        </w:rPr>
        <w:t xml:space="preserve"> 22 a 25.</w:t>
      </w:r>
    </w:p>
    <w:p w14:paraId="4C2E972D" w14:textId="77777777" w:rsidR="00764F0F" w:rsidRDefault="00764F0F">
      <w:pPr>
        <w:ind w:left="1276"/>
        <w:rPr>
          <w:rFonts w:ascii="Calibri" w:eastAsia="Calibri" w:hAnsi="Calibri" w:cs="Calibri"/>
          <w:b/>
          <w:bCs/>
          <w:sz w:val="22"/>
          <w:szCs w:val="22"/>
          <w:lang w:val="pt-PT" w:eastAsia="en-US"/>
        </w:rPr>
      </w:pPr>
    </w:p>
    <w:p w14:paraId="326A87B8" w14:textId="77777777" w:rsidR="00764F0F" w:rsidRDefault="000C52A9">
      <w:pPr>
        <w:numPr>
          <w:ilvl w:val="0"/>
          <w:numId w:val="3"/>
        </w:numPr>
        <w:ind w:left="1276"/>
      </w:pPr>
      <w:hyperlink r:id="rId8" w:history="1">
        <w:r>
          <w:rPr>
            <w:rFonts w:ascii="Calibri" w:hAnsi="Calibri" w:cs="Calibri"/>
            <w:sz w:val="22"/>
            <w:szCs w:val="22"/>
            <w:lang w:val="pt-PT" w:eastAsia="en-US"/>
          </w:rPr>
          <w:t xml:space="preserve">Decreto-Lei n.º 6-C/2021, de 15/01 </w:t>
        </w:r>
      </w:hyperlink>
      <w:r>
        <w:rPr>
          <w:rFonts w:ascii="Calibri" w:hAnsi="Calibri" w:cs="Calibri"/>
          <w:sz w:val="22"/>
          <w:szCs w:val="22"/>
          <w:lang w:val="pt-PT" w:eastAsia="en-US"/>
        </w:rPr>
        <w:t xml:space="preserve">(DR n.º 10, 1º Suplemento, 1ª Série) - Prorroga o </w:t>
      </w:r>
      <w:r>
        <w:rPr>
          <w:rFonts w:ascii="Calibri" w:hAnsi="Calibri" w:cs="Calibri"/>
          <w:sz w:val="22"/>
          <w:szCs w:val="22"/>
          <w:u w:val="single"/>
          <w:lang w:val="pt-PT" w:eastAsia="en-US"/>
        </w:rPr>
        <w:t>apoio extraordinário à retoma progressiva de atividade</w:t>
      </w:r>
      <w:r>
        <w:rPr>
          <w:rFonts w:ascii="Calibri" w:hAnsi="Calibri" w:cs="Calibri"/>
          <w:sz w:val="22"/>
          <w:szCs w:val="22"/>
          <w:lang w:val="pt-PT" w:eastAsia="en-US"/>
        </w:rPr>
        <w:t xml:space="preserve"> em empresas em situação de crise empres</w:t>
      </w:r>
      <w:r>
        <w:rPr>
          <w:rFonts w:ascii="Calibri" w:hAnsi="Calibri" w:cs="Calibri"/>
          <w:sz w:val="22"/>
          <w:szCs w:val="22"/>
          <w:lang w:val="pt-PT" w:eastAsia="en-US"/>
        </w:rPr>
        <w:t>arial.</w:t>
      </w:r>
    </w:p>
    <w:p w14:paraId="3BE566AD" w14:textId="77777777" w:rsidR="00764F0F" w:rsidRDefault="00764F0F">
      <w:pPr>
        <w:ind w:left="1276"/>
        <w:rPr>
          <w:rFonts w:ascii="Calibri" w:eastAsia="Calibri" w:hAnsi="Calibri" w:cs="Calibri"/>
          <w:sz w:val="22"/>
          <w:szCs w:val="22"/>
          <w:lang w:val="pt-PT" w:eastAsia="en-US"/>
        </w:rPr>
      </w:pPr>
    </w:p>
    <w:p w14:paraId="6AA0C39A" w14:textId="77777777" w:rsidR="00764F0F" w:rsidRDefault="000C52A9">
      <w:pPr>
        <w:numPr>
          <w:ilvl w:val="0"/>
          <w:numId w:val="3"/>
        </w:numPr>
        <w:ind w:left="1276"/>
      </w:pPr>
      <w:r>
        <w:rPr>
          <w:rFonts w:ascii="Calibri" w:hAnsi="Calibri" w:cs="Calibri"/>
          <w:sz w:val="22"/>
          <w:szCs w:val="22"/>
          <w:lang w:val="pt-PT" w:eastAsia="en-US"/>
        </w:rPr>
        <w:t xml:space="preserve">Decreto-Lei n.º 6-E/2021, de 15 de janeiro - </w:t>
      </w:r>
      <w:r>
        <w:rPr>
          <w:rFonts w:ascii="Calibri" w:hAnsi="Calibri" w:cs="Calibri"/>
          <w:sz w:val="22"/>
          <w:szCs w:val="22"/>
          <w:u w:val="single"/>
          <w:lang w:val="pt-PT" w:eastAsia="en-US"/>
        </w:rPr>
        <w:t>Mecanismos de apoio</w:t>
      </w:r>
      <w:r>
        <w:rPr>
          <w:rFonts w:ascii="Calibri" w:hAnsi="Calibri" w:cs="Calibri"/>
          <w:sz w:val="22"/>
          <w:szCs w:val="22"/>
          <w:lang w:val="pt-PT" w:eastAsia="en-US"/>
        </w:rPr>
        <w:t xml:space="preserve"> no estado de emergência.</w:t>
      </w:r>
    </w:p>
    <w:p w14:paraId="347CD319" w14:textId="77777777" w:rsidR="00764F0F" w:rsidRDefault="00764F0F">
      <w:pPr>
        <w:ind w:left="851"/>
        <w:rPr>
          <w:rFonts w:ascii="Calibri" w:eastAsia="Calibri" w:hAnsi="Calibri" w:cs="Calibri"/>
          <w:sz w:val="22"/>
          <w:szCs w:val="22"/>
          <w:lang w:val="pt-PT" w:eastAsia="en-US"/>
        </w:rPr>
      </w:pPr>
    </w:p>
    <w:p w14:paraId="33BB2BFE" w14:textId="77777777" w:rsidR="00764F0F" w:rsidRDefault="00764F0F">
      <w:pPr>
        <w:ind w:left="851"/>
        <w:rPr>
          <w:rFonts w:ascii="Calibri" w:eastAsia="Calibri" w:hAnsi="Calibri" w:cs="Calibri"/>
          <w:sz w:val="22"/>
          <w:szCs w:val="22"/>
          <w:lang w:val="pt-PT" w:eastAsia="en-US"/>
        </w:rPr>
      </w:pPr>
    </w:p>
    <w:p w14:paraId="2E9374CF" w14:textId="77777777" w:rsidR="00764F0F" w:rsidRDefault="000C52A9">
      <w:pPr>
        <w:ind w:left="851"/>
        <w:rPr>
          <w:rFonts w:ascii="Calibri" w:eastAsia="Calibri" w:hAnsi="Calibri" w:cs="Calibri"/>
          <w:sz w:val="22"/>
          <w:szCs w:val="22"/>
          <w:lang w:val="pt-PT" w:eastAsia="en-US"/>
        </w:rPr>
      </w:pPr>
      <w:r>
        <w:rPr>
          <w:rFonts w:ascii="Calibri" w:eastAsia="Calibri" w:hAnsi="Calibri" w:cs="Calibri"/>
          <w:sz w:val="22"/>
          <w:szCs w:val="22"/>
          <w:lang w:val="pt-PT" w:eastAsia="en-US"/>
        </w:rPr>
        <w:t xml:space="preserve">Do enunciado acima, cada empresa e empresário poderá iniciar o seu pensamento e verificação da respetiva aplicabilidade, sendo que para algumas das medidas </w:t>
      </w:r>
      <w:r>
        <w:rPr>
          <w:rFonts w:ascii="Calibri" w:eastAsia="Calibri" w:hAnsi="Calibri" w:cs="Calibri"/>
          <w:sz w:val="22"/>
          <w:szCs w:val="22"/>
          <w:lang w:val="pt-PT" w:eastAsia="en-US"/>
        </w:rPr>
        <w:t>ainda se aguarda regulamentação e procedimentos de execução. Ainda hoje ocorrerá uma reunião do conselho de ministros do Governo para reajustes ao ora publicado.</w:t>
      </w:r>
    </w:p>
    <w:p w14:paraId="69F4F241" w14:textId="77777777" w:rsidR="00764F0F" w:rsidRDefault="00764F0F">
      <w:pPr>
        <w:ind w:left="851"/>
        <w:rPr>
          <w:rFonts w:ascii="Calibri" w:eastAsia="Calibri" w:hAnsi="Calibri" w:cs="Calibri"/>
          <w:sz w:val="22"/>
          <w:szCs w:val="22"/>
          <w:lang w:val="pt-PT" w:eastAsia="en-US"/>
        </w:rPr>
      </w:pPr>
    </w:p>
    <w:p w14:paraId="74FE8545" w14:textId="77777777" w:rsidR="00764F0F" w:rsidRDefault="000C52A9">
      <w:pPr>
        <w:ind w:left="851"/>
        <w:rPr>
          <w:rFonts w:ascii="Calibri" w:eastAsia="Calibri" w:hAnsi="Calibri" w:cs="Calibri"/>
          <w:sz w:val="22"/>
          <w:szCs w:val="22"/>
          <w:lang w:val="pt-PT" w:eastAsia="en-US"/>
        </w:rPr>
      </w:pPr>
      <w:r>
        <w:rPr>
          <w:rFonts w:ascii="Calibri" w:eastAsia="Calibri" w:hAnsi="Calibri" w:cs="Calibri"/>
          <w:sz w:val="22"/>
          <w:szCs w:val="22"/>
          <w:lang w:val="pt-PT" w:eastAsia="en-US"/>
        </w:rPr>
        <w:t>Continuaremos a desenvolver o nosso estudo para um correto conhecimento e aplicação destas me</w:t>
      </w:r>
      <w:r>
        <w:rPr>
          <w:rFonts w:ascii="Calibri" w:eastAsia="Calibri" w:hAnsi="Calibri" w:cs="Calibri"/>
          <w:sz w:val="22"/>
          <w:szCs w:val="22"/>
          <w:lang w:val="pt-PT" w:eastAsia="en-US"/>
        </w:rPr>
        <w:t>didas. Oportunamente apresentaremos aquilo que se mostrar pertinente a fim de podermos apoiar nas decisões das Empresas e Empresários.</w:t>
      </w:r>
    </w:p>
    <w:p w14:paraId="634BAA37" w14:textId="77777777" w:rsidR="00764F0F" w:rsidRDefault="00764F0F">
      <w:pPr>
        <w:ind w:left="851"/>
        <w:rPr>
          <w:rFonts w:ascii="Calibri" w:eastAsia="Calibri" w:hAnsi="Calibri" w:cs="Calibri"/>
          <w:sz w:val="22"/>
          <w:szCs w:val="22"/>
          <w:lang w:val="pt-PT" w:eastAsia="en-US"/>
        </w:rPr>
      </w:pPr>
    </w:p>
    <w:p w14:paraId="68CDED73" w14:textId="77777777" w:rsidR="00764F0F" w:rsidRDefault="00764F0F">
      <w:pPr>
        <w:ind w:left="1560" w:right="1269"/>
        <w:rPr>
          <w:rFonts w:ascii="Times New Roman" w:hAnsi="Times New Roman"/>
        </w:rPr>
      </w:pPr>
    </w:p>
    <w:sectPr w:rsidR="00764F0F">
      <w:pgSz w:w="11913" w:h="16834"/>
      <w:pgMar w:top="567" w:right="454" w:bottom="907"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637EF" w14:textId="77777777" w:rsidR="000C52A9" w:rsidRDefault="000C52A9">
      <w:r>
        <w:separator/>
      </w:r>
    </w:p>
  </w:endnote>
  <w:endnote w:type="continuationSeparator" w:id="0">
    <w:p w14:paraId="6078237C" w14:textId="77777777" w:rsidR="000C52A9" w:rsidRDefault="000C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25E6E" w14:textId="77777777" w:rsidR="000C52A9" w:rsidRDefault="000C52A9">
      <w:r>
        <w:rPr>
          <w:color w:val="000000"/>
        </w:rPr>
        <w:separator/>
      </w:r>
    </w:p>
  </w:footnote>
  <w:footnote w:type="continuationSeparator" w:id="0">
    <w:p w14:paraId="0BD77333" w14:textId="77777777" w:rsidR="000C52A9" w:rsidRDefault="000C5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8764BE"/>
    <w:multiLevelType w:val="multilevel"/>
    <w:tmpl w:val="4B94EA8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E2D656A"/>
    <w:multiLevelType w:val="multilevel"/>
    <w:tmpl w:val="B3D6BBF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64F0F"/>
    <w:rsid w:val="000C52A9"/>
    <w:rsid w:val="00487307"/>
    <w:rsid w:val="00764F0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BD5C"/>
  <w15:docId w15:val="{8046603E-EFC3-4D5C-B555-35852D41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lang w:val="pt-BR"/>
    </w:rPr>
  </w:style>
  <w:style w:type="paragraph" w:styleId="Ttulo1">
    <w:name w:val="heading 1"/>
    <w:basedOn w:val="Normal"/>
    <w:next w:val="Normal"/>
    <w:uiPriority w:val="9"/>
    <w:qFormat/>
    <w:pPr>
      <w:spacing w:before="240"/>
      <w:outlineLvl w:val="0"/>
    </w:pPr>
    <w:rPr>
      <w:b/>
      <w:sz w:val="24"/>
      <w:u w:val="single"/>
    </w:rPr>
  </w:style>
  <w:style w:type="paragraph" w:styleId="Ttulo2">
    <w:name w:val="heading 2"/>
    <w:basedOn w:val="Normal"/>
    <w:next w:val="Normal"/>
    <w:uiPriority w:val="9"/>
    <w:semiHidden/>
    <w:unhideWhenUsed/>
    <w:qFormat/>
    <w:pPr>
      <w:spacing w:before="120"/>
      <w:outlineLvl w:val="1"/>
    </w:pPr>
    <w:rPr>
      <w:b/>
      <w:sz w:val="24"/>
    </w:rPr>
  </w:style>
  <w:style w:type="paragraph" w:styleId="Ttulo3">
    <w:name w:val="heading 3"/>
    <w:basedOn w:val="Normal"/>
    <w:next w:val="Avanonormal"/>
    <w:uiPriority w:val="9"/>
    <w:semiHidden/>
    <w:unhideWhenUsed/>
    <w:qFormat/>
    <w:pPr>
      <w:ind w:left="354"/>
      <w:outlineLvl w:val="2"/>
    </w:pPr>
    <w:rPr>
      <w:rFonts w:ascii="Times New Roman" w:hAnsi="Times New Roman"/>
      <w:b/>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normal">
    <w:name w:val="Normal Indent"/>
    <w:basedOn w:val="Normal"/>
    <w:pPr>
      <w:ind w:left="708"/>
    </w:pPr>
  </w:style>
  <w:style w:type="paragraph" w:customStyle="1" w:styleId="Para">
    <w:name w:val="Para"/>
    <w:basedOn w:val="Normal"/>
    <w:rPr>
      <w:sz w:val="36"/>
    </w:rPr>
  </w:style>
  <w:style w:type="paragraph" w:customStyle="1" w:styleId="ParaEmpresa">
    <w:name w:val="ParaEmpresa"/>
    <w:basedOn w:val="Normal"/>
    <w:rPr>
      <w:sz w:val="28"/>
    </w:rPr>
  </w:style>
  <w:style w:type="paragraph" w:customStyle="1" w:styleId="ParaFax">
    <w:name w:val="ParaFax"/>
    <w:basedOn w:val="Normal"/>
    <w:rPr>
      <w:sz w:val="28"/>
    </w:rPr>
  </w:style>
  <w:style w:type="paragraph" w:customStyle="1" w:styleId="De">
    <w:name w:val="De"/>
    <w:basedOn w:val="Normal"/>
    <w:pPr>
      <w:spacing w:before="360"/>
    </w:pPr>
    <w:rPr>
      <w:sz w:val="36"/>
    </w:rPr>
  </w:style>
  <w:style w:type="paragraph" w:customStyle="1" w:styleId="DeEmpresa">
    <w:name w:val="DeEmpresa"/>
    <w:basedOn w:val="Normal"/>
    <w:rPr>
      <w:sz w:val="28"/>
    </w:rPr>
  </w:style>
  <w:style w:type="paragraph" w:customStyle="1" w:styleId="DeTelefone">
    <w:name w:val="DeTelefone"/>
    <w:basedOn w:val="Normal"/>
    <w:rPr>
      <w:sz w:val="28"/>
    </w:rPr>
  </w:style>
  <w:style w:type="paragraph" w:customStyle="1" w:styleId="DeFax">
    <w:name w:val="DeFax"/>
    <w:basedOn w:val="Normal"/>
    <w:rPr>
      <w:sz w:val="28"/>
    </w:rPr>
  </w:style>
  <w:style w:type="paragraph" w:styleId="Data">
    <w:name w:val="Date"/>
    <w:basedOn w:val="Normal"/>
    <w:pPr>
      <w:spacing w:before="360"/>
    </w:pPr>
    <w:rPr>
      <w:sz w:val="28"/>
    </w:rPr>
  </w:style>
  <w:style w:type="paragraph" w:customStyle="1" w:styleId="Pginas">
    <w:name w:val="Páginas"/>
    <w:basedOn w:val="Normal"/>
    <w:rPr>
      <w:sz w:val="28"/>
    </w:rPr>
  </w:style>
  <w:style w:type="paragraph" w:customStyle="1" w:styleId="Comentrios">
    <w:name w:val="Comentários"/>
    <w:basedOn w:val="Normal"/>
    <w:next w:val="Normal"/>
    <w:pPr>
      <w:spacing w:before="240" w:after="120"/>
    </w:pPr>
    <w:rPr>
      <w:b/>
      <w:sz w:val="28"/>
    </w:rPr>
  </w:style>
  <w:style w:type="paragraph" w:customStyle="1" w:styleId="ParaTelefone">
    <w:name w:val="ParaTelefone"/>
    <w:basedOn w:val="ParaEmpres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peca.pt/docs/informacaoapeca/dec_lei_6_C_2021.pdf" TargetMode="External"/><Relationship Id="rId3" Type="http://schemas.openxmlformats.org/officeDocument/2006/relationships/settings" Target="settings.xml"/><Relationship Id="rId7" Type="http://schemas.openxmlformats.org/officeDocument/2006/relationships/hyperlink" Target="http://www.apeca.pt/docs/informacaoapeca/dec_3_A_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TIMBRE%20FIOVDE.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TIMBRE%20FIOVDE.dot</Template>
  <TotalTime>1</TotalTime>
  <Pages>1</Pages>
  <Words>401</Words>
  <Characters>2166</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FEDERAÇÃO  DAS  INDÚSTRIAS  DE  ÓLEOS  VEGETAIS  DERIVADOS  E  EQUIPARADOS</dc:title>
  <dc:subject/>
  <dc:creator>JFonseca</dc:creator>
  <cp:lastModifiedBy>Isabel P. Coelho</cp:lastModifiedBy>
  <cp:revision>2</cp:revision>
  <cp:lastPrinted>2017-01-17T12:02:00Z</cp:lastPrinted>
  <dcterms:created xsi:type="dcterms:W3CDTF">2021-01-18T14:11:00Z</dcterms:created>
  <dcterms:modified xsi:type="dcterms:W3CDTF">2021-01-18T14:11:00Z</dcterms:modified>
</cp:coreProperties>
</file>