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1536" w14:textId="77777777" w:rsidR="00152894" w:rsidRDefault="00AB78FE" w:rsidP="00B10D1A">
      <w:pPr>
        <w:pStyle w:val="Pagedecouverture"/>
      </w:pPr>
      <w:r>
        <w:pict w14:anchorId="43D42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9A7735F-48C3-47FA-833D-10DEF4DD1885" style="width:454.8pt;height:411pt">
            <v:imagedata r:id="rId8" o:title=""/>
          </v:shape>
        </w:pict>
      </w:r>
    </w:p>
    <w:p w14:paraId="170D8C64" w14:textId="77777777" w:rsidR="00B10D1A" w:rsidRPr="00A01AA1" w:rsidRDefault="00B10D1A" w:rsidP="00A01AA1">
      <w:pPr>
        <w:sectPr w:rsidR="00B10D1A" w:rsidRPr="00A01AA1" w:rsidSect="00ED4D4F">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091CE54" w14:textId="77777777" w:rsidR="00B10D1A" w:rsidRPr="00A01AA1" w:rsidRDefault="00B10D1A" w:rsidP="00B10D1A">
      <w:pPr>
        <w:pStyle w:val="Typedudocument"/>
      </w:pPr>
      <w:r w:rsidRPr="00B10D1A">
        <w:lastRenderedPageBreak/>
        <w:t>COMMISSION REGULATION (EU) …/…</w:t>
      </w:r>
    </w:p>
    <w:p w14:paraId="04A54BE7" w14:textId="77777777" w:rsidR="00B10D1A" w:rsidRPr="00A01AA1" w:rsidRDefault="00B10D1A" w:rsidP="00B10D1A">
      <w:pPr>
        <w:pStyle w:val="Datedadoption"/>
      </w:pPr>
      <w:r w:rsidRPr="00B10D1A">
        <w:t xml:space="preserve">of </w:t>
      </w:r>
      <w:r w:rsidRPr="00B10D1A">
        <w:rPr>
          <w:rStyle w:val="Marker2"/>
        </w:rPr>
        <w:t>XXX</w:t>
      </w:r>
    </w:p>
    <w:p w14:paraId="545D9929" w14:textId="77777777" w:rsidR="00B10D1A" w:rsidRPr="00A01AA1" w:rsidRDefault="00B10D1A" w:rsidP="00B10D1A">
      <w:pPr>
        <w:pStyle w:val="Titreobjet"/>
      </w:pPr>
      <w:r w:rsidRPr="00B10D1A">
        <w:t xml:space="preserve">amending Regulation (EC) No 1223/2009 of the European Parliament and of the Council as regards the use in cosmetic products of certain substances classified as carcinogenic, </w:t>
      </w:r>
      <w:proofErr w:type="gramStart"/>
      <w:r w:rsidRPr="00B10D1A">
        <w:t>mutagenic</w:t>
      </w:r>
      <w:proofErr w:type="gramEnd"/>
      <w:r w:rsidRPr="00B10D1A">
        <w:t xml:space="preserve"> or toxic for reproduction</w:t>
      </w:r>
      <w:r w:rsidRPr="00B10D1A">
        <w:br/>
      </w:r>
    </w:p>
    <w:p w14:paraId="25C9953C" w14:textId="77777777" w:rsidR="00B10D1A" w:rsidRPr="00B10D1A" w:rsidRDefault="00B10D1A" w:rsidP="00B10D1A">
      <w:pPr>
        <w:pStyle w:val="IntrtEEE"/>
      </w:pPr>
      <w:r w:rsidRPr="00B10D1A">
        <w:t>(Text with EEA relevance)</w:t>
      </w:r>
    </w:p>
    <w:p w14:paraId="416EE262" w14:textId="77777777" w:rsidR="00B10D1A" w:rsidRPr="00A01AA1" w:rsidRDefault="00B10D1A" w:rsidP="001C3314">
      <w:pPr>
        <w:pStyle w:val="Institutionquiagit"/>
      </w:pPr>
      <w:r w:rsidRPr="00A01AA1">
        <w:t>THE EUROPEAN COMMISSION,</w:t>
      </w:r>
    </w:p>
    <w:p w14:paraId="55EF9D4C" w14:textId="77777777" w:rsidR="00E20306" w:rsidRPr="00A01AA1" w:rsidRDefault="00E20306" w:rsidP="00E20306">
      <w:r w:rsidRPr="00A01AA1">
        <w:t>Having regard to the Treaty on the Functioning of the European Union,</w:t>
      </w:r>
    </w:p>
    <w:p w14:paraId="64724253" w14:textId="77777777" w:rsidR="00E20306" w:rsidRPr="00A01AA1" w:rsidRDefault="00E20306" w:rsidP="00E20306">
      <w:r w:rsidRPr="00BA32EC">
        <w:t>Having regard to Regulation (EC) No 1223/2009 of the European Parliament and of the Council of 30 November 2009 on cosmetic products</w:t>
      </w:r>
      <w:r>
        <w:rPr>
          <w:rStyle w:val="Refdenotaderodap"/>
        </w:rPr>
        <w:footnoteReference w:id="1"/>
      </w:r>
      <w:r w:rsidRPr="00BA32EC">
        <w:t xml:space="preserve">, and </w:t>
      </w:r>
      <w:proofErr w:type="gramStart"/>
      <w:r w:rsidRPr="00BA32EC">
        <w:t>in particular Article</w:t>
      </w:r>
      <w:proofErr w:type="gramEnd"/>
      <w:r w:rsidRPr="00BA32EC">
        <w:t xml:space="preserve"> 15(1) and Article 15(2)</w:t>
      </w:r>
      <w:r>
        <w:t xml:space="preserve">, fourth subparagraph, </w:t>
      </w:r>
      <w:r w:rsidRPr="00A01AA1">
        <w:t>thereof,</w:t>
      </w:r>
    </w:p>
    <w:p w14:paraId="0E676291" w14:textId="77777777" w:rsidR="00E20306" w:rsidRPr="00A01AA1" w:rsidRDefault="00E20306" w:rsidP="00E20306">
      <w:r w:rsidRPr="00A01AA1">
        <w:t>Whereas:</w:t>
      </w:r>
    </w:p>
    <w:p w14:paraId="2F3D042F" w14:textId="77777777" w:rsidR="00E20306" w:rsidRPr="00BA32EC" w:rsidRDefault="00E20306" w:rsidP="005D2043">
      <w:pPr>
        <w:pStyle w:val="Considrant"/>
        <w:numPr>
          <w:ilvl w:val="0"/>
          <w:numId w:val="5"/>
        </w:numPr>
      </w:pPr>
      <w:r w:rsidRPr="00BA32EC">
        <w:t>Regulation (EC) No 1272/2008 of the European Parliament and of the Council</w:t>
      </w:r>
      <w:r>
        <w:rPr>
          <w:rStyle w:val="Refdenotaderodap"/>
        </w:rPr>
        <w:footnoteReference w:id="2"/>
      </w:r>
      <w:r w:rsidRPr="00BA32EC">
        <w:t xml:space="preserve"> provides for a harmonised classification of substances as carcinogenic, </w:t>
      </w:r>
      <w:proofErr w:type="gramStart"/>
      <w:r w:rsidRPr="00BA32EC">
        <w:t>mutagenic</w:t>
      </w:r>
      <w:proofErr w:type="gramEnd"/>
      <w:r w:rsidRPr="00BA32EC">
        <w:t xml:space="preserve"> or toxic for reproduction (CMR) based on a scientific assessment by the Risk Assessment Committee of the European Chemicals Agency. </w:t>
      </w:r>
      <w:r w:rsidRPr="00221601">
        <w:t>The substances</w:t>
      </w:r>
      <w:r w:rsidRPr="00BA32EC">
        <w:t xml:space="preserve"> are classified as CMR substances of category 1A, CMR substances of category 1B or CMR substances of category 2 depending on the level of evidence of their CMR properties.</w:t>
      </w:r>
    </w:p>
    <w:p w14:paraId="2E0F0FCC" w14:textId="46D039D4" w:rsidR="008D06B4" w:rsidRPr="00BA32EC" w:rsidRDefault="008D06B4" w:rsidP="008D06B4">
      <w:pPr>
        <w:pStyle w:val="Considrant"/>
      </w:pPr>
      <w:r>
        <w:t>Article 15 of Regulation (EC) No 1223/2009 provides that substances which have been classified as CMR substances of category 1A, category 1B or category 2 under Part 3 of Annex VI to Regulation (EC) No 1272/2008 (CMR substances) are to be prohibited from use in cosmetic products. A CMR substance may however be used in cosmetic products where the conditions laid down in Article 15(1), second sentence, of Regulation (EC) No 1223/2009 or in Article 15(2), second subparagraph of that Regulation are fulfilled.</w:t>
      </w:r>
    </w:p>
    <w:p w14:paraId="7F49D249" w14:textId="0CB67368" w:rsidR="00E20306" w:rsidRPr="005E46AE" w:rsidRDefault="008D06B4" w:rsidP="008D06B4">
      <w:pPr>
        <w:pStyle w:val="Considrant"/>
      </w:pPr>
      <w:r>
        <w:t>In order to uniformly implement the prohibition of CMR substances within the internal market, to ensure legal certainty, in particular for economic operators and national competent authorities, and to ensure a high level of protection of human health, all CMR substances should be included in the list of prohibited substances in Annex II to Regulation (EC) No 1223/2009 and, where relevant, deleted from the lists of restricted or allowed substances in Annexes III to VI to that Regulation. Where the conditions laid down in Article 15(1), second sentence, of Regulation (EC) No 1223/2009 or in Article 15(2), second subparagraph of that Regulation are fulfilled, the lists of restricted or allowed substances in Annexes III to VI to that Regulation should be amended accordingly</w:t>
      </w:r>
      <w:r w:rsidR="00E20306" w:rsidRPr="005E46AE">
        <w:t>.</w:t>
      </w:r>
    </w:p>
    <w:p w14:paraId="4E15419D" w14:textId="34A8BE85" w:rsidR="00E20306" w:rsidRDefault="00E20306" w:rsidP="00E20306">
      <w:pPr>
        <w:pStyle w:val="Considrant"/>
      </w:pPr>
      <w:r w:rsidRPr="00AB78FE">
        <w:rPr>
          <w:highlight w:val="yellow"/>
        </w:rPr>
        <w:lastRenderedPageBreak/>
        <w:t>This Regulation covers substances classified as CMR substances by Delegated Regulation (EU) 2022/692</w:t>
      </w:r>
      <w:r w:rsidRPr="00AB78FE">
        <w:rPr>
          <w:rStyle w:val="Refdenotaderodap"/>
          <w:highlight w:val="yellow"/>
        </w:rPr>
        <w:footnoteReference w:id="3"/>
      </w:r>
      <w:r w:rsidR="008D06B4" w:rsidRPr="00AB78FE">
        <w:rPr>
          <w:highlight w:val="yellow"/>
        </w:rPr>
        <w:t xml:space="preserve"> (‘the relevant substances’). Delegated Regulation (EU) 2022/692</w:t>
      </w:r>
      <w:r w:rsidRPr="00AB78FE">
        <w:rPr>
          <w:highlight w:val="yellow"/>
        </w:rPr>
        <w:t xml:space="preserve"> will apply from </w:t>
      </w:r>
      <w:r w:rsidR="002C13BC" w:rsidRPr="00AB78FE">
        <w:rPr>
          <w:highlight w:val="yellow"/>
        </w:rPr>
        <w:t xml:space="preserve">1 December </w:t>
      </w:r>
      <w:r w:rsidRPr="00AB78FE">
        <w:rPr>
          <w:highlight w:val="yellow"/>
        </w:rPr>
        <w:t>2023.</w:t>
      </w:r>
    </w:p>
    <w:p w14:paraId="1C566105" w14:textId="77777777" w:rsidR="008D06B4" w:rsidRPr="00AB78FE" w:rsidRDefault="008D06B4" w:rsidP="008D06B4">
      <w:pPr>
        <w:pStyle w:val="Considrant"/>
      </w:pPr>
      <w:r w:rsidRPr="00AB78FE">
        <w:t xml:space="preserve">No request   for use in cosmetic products by way of exception has been submitted for the relevant substances. </w:t>
      </w:r>
    </w:p>
    <w:p w14:paraId="48A1CE01" w14:textId="4B4E7335" w:rsidR="008D06B4" w:rsidRDefault="008D06B4" w:rsidP="008D06B4">
      <w:pPr>
        <w:pStyle w:val="Considrant"/>
      </w:pPr>
      <w:r w:rsidRPr="00AB78FE">
        <w:rPr>
          <w:highlight w:val="yellow"/>
        </w:rPr>
        <w:t>The relevant substances   are currently neither restricted in Annex III to Regulation (EC) No 1223/2009, nor allowed in Annexes IV, V or VI to that Regulation.</w:t>
      </w:r>
    </w:p>
    <w:p w14:paraId="38BF15E5" w14:textId="77777777" w:rsidR="008D06B4" w:rsidRDefault="008D06B4" w:rsidP="008D06B4">
      <w:pPr>
        <w:pStyle w:val="Considrant"/>
      </w:pPr>
      <w:r>
        <w:t xml:space="preserve">The substance 2-ethylhexanoic acid (CAS No. 149-57-5) is currently listed in entry 1024 of Annex II to Regulation (EC) No 1223/2009. However, the salts of that substance, which have been classified as CMR substances [of category 1B] by Delegated Regulation (EU) 2022/692, are not included in that entry. None of the other relevant substances are currently listed    in Annex II to Regulation (EC) No 1223/2009. Therefore, those substances should be added to the list of substances prohibited in cosmetic products in Annex II to Regulation (EC) No 1223/2009 and the salts of the substance 2-ethylhexanoic acid should be added in entry 1024 of that Annex. </w:t>
      </w:r>
    </w:p>
    <w:p w14:paraId="15B7B794" w14:textId="77777777" w:rsidR="008D06B4" w:rsidRDefault="008D06B4" w:rsidP="008D06B4">
      <w:pPr>
        <w:pStyle w:val="Considrant"/>
      </w:pPr>
      <w:r>
        <w:t xml:space="preserve">Regulation (EC) 1223/2009 should therefore be amended accordingly. </w:t>
      </w:r>
    </w:p>
    <w:p w14:paraId="440A63E2" w14:textId="77777777" w:rsidR="008D06B4" w:rsidRDefault="008D06B4" w:rsidP="008D06B4">
      <w:pPr>
        <w:pStyle w:val="Considrant"/>
      </w:pPr>
      <w:r>
        <w:t>The amendments to Regulation (EC) No 1223/2009 are based on the classifications of the relevant substances as CMR substances and should therefore apply from the same date as those classifications.</w:t>
      </w:r>
    </w:p>
    <w:p w14:paraId="7D94656D" w14:textId="134A2EC1" w:rsidR="00E20306" w:rsidRDefault="008D06B4" w:rsidP="00E20306">
      <w:pPr>
        <w:pStyle w:val="Considrant"/>
      </w:pPr>
      <w:r>
        <w:t>The measures provided for in this Regulation are in accordance with the opinion of the Standing Committee on Cosmetic Products</w:t>
      </w:r>
      <w:r w:rsidR="00E20306" w:rsidRPr="000B499E">
        <w:t>,</w:t>
      </w:r>
    </w:p>
    <w:p w14:paraId="4103FAA9" w14:textId="77777777" w:rsidR="00E20306" w:rsidRPr="000B499E" w:rsidRDefault="00E20306" w:rsidP="00E20306">
      <w:pPr>
        <w:pStyle w:val="Formuledadoption"/>
      </w:pPr>
      <w:r w:rsidRPr="000B499E">
        <w:t>HAS ADOPTED THIS REGULATION:</w:t>
      </w:r>
    </w:p>
    <w:p w14:paraId="50B40D2B" w14:textId="77777777" w:rsidR="00E20306" w:rsidRPr="000B499E" w:rsidRDefault="00E20306" w:rsidP="00E20306">
      <w:pPr>
        <w:pStyle w:val="Titrearticle"/>
      </w:pPr>
      <w:r w:rsidRPr="000B499E">
        <w:t>Article 1</w:t>
      </w:r>
    </w:p>
    <w:p w14:paraId="266A1A6A" w14:textId="4C7280ED" w:rsidR="00E20306" w:rsidRDefault="00E20306" w:rsidP="00E20306">
      <w:r w:rsidRPr="000B499E">
        <w:t xml:space="preserve">Annexes II to Regulation (EC) No 1223/2009 </w:t>
      </w:r>
      <w:r>
        <w:t>is</w:t>
      </w:r>
      <w:r w:rsidRPr="000B499E">
        <w:t xml:space="preserve"> amended in accordance with</w:t>
      </w:r>
      <w:r w:rsidR="008D06B4">
        <w:t xml:space="preserve"> the</w:t>
      </w:r>
      <w:r w:rsidRPr="000B499E">
        <w:t xml:space="preserve"> </w:t>
      </w:r>
      <w:r w:rsidR="00E95942">
        <w:t>Annex</w:t>
      </w:r>
      <w:r>
        <w:t xml:space="preserve"> </w:t>
      </w:r>
      <w:r w:rsidRPr="000B499E">
        <w:t>to this Regulation.</w:t>
      </w:r>
    </w:p>
    <w:p w14:paraId="4F842EA5" w14:textId="77777777" w:rsidR="00E20306" w:rsidRPr="00A01AA1" w:rsidRDefault="00E20306" w:rsidP="00E20306">
      <w:pPr>
        <w:pStyle w:val="Titrearticle"/>
      </w:pPr>
      <w:r w:rsidRPr="000B499E">
        <w:t>Article</w:t>
      </w:r>
      <w:r>
        <w:t xml:space="preserve"> 2 </w:t>
      </w:r>
    </w:p>
    <w:p w14:paraId="1CFE5D7D" w14:textId="77777777" w:rsidR="00E20306" w:rsidRPr="00BA32EC" w:rsidRDefault="00E20306" w:rsidP="00E20306">
      <w:r w:rsidRPr="00BA32EC">
        <w:t xml:space="preserve">This Regulation shall enter into force on the twentieth day following that of its publication in the </w:t>
      </w:r>
      <w:r w:rsidRPr="00BA32EC">
        <w:rPr>
          <w:i/>
        </w:rPr>
        <w:t>Official Journal of the European Union</w:t>
      </w:r>
      <w:r w:rsidRPr="00BA32EC">
        <w:t>.</w:t>
      </w:r>
    </w:p>
    <w:p w14:paraId="65554D50" w14:textId="77777777" w:rsidR="00E20306" w:rsidRPr="005C245D" w:rsidRDefault="00C078EF" w:rsidP="00E20306">
      <w:r w:rsidRPr="00AB78FE">
        <w:rPr>
          <w:highlight w:val="yellow"/>
        </w:rPr>
        <w:t xml:space="preserve">It </w:t>
      </w:r>
      <w:r w:rsidR="00E20306" w:rsidRPr="00AB78FE">
        <w:rPr>
          <w:highlight w:val="yellow"/>
        </w:rPr>
        <w:t xml:space="preserve">shall apply from </w:t>
      </w:r>
      <w:r w:rsidR="002C13BC" w:rsidRPr="00AB78FE">
        <w:rPr>
          <w:highlight w:val="yellow"/>
        </w:rPr>
        <w:t>1 December</w:t>
      </w:r>
      <w:r w:rsidR="00E20306" w:rsidRPr="00AB78FE">
        <w:rPr>
          <w:highlight w:val="yellow"/>
        </w:rPr>
        <w:t xml:space="preserve"> 2023.</w:t>
      </w:r>
      <w:r w:rsidR="00E20306">
        <w:t xml:space="preserve"> </w:t>
      </w:r>
    </w:p>
    <w:p w14:paraId="1483EC27" w14:textId="77777777" w:rsidR="00E20306" w:rsidRDefault="00E20306" w:rsidP="00E20306">
      <w:pPr>
        <w:pStyle w:val="Applicationdirecte"/>
      </w:pPr>
      <w:r w:rsidRPr="00A01AA1">
        <w:t>This Regulation shall be binding in its entirety and directly applicable in all Member States.</w:t>
      </w:r>
    </w:p>
    <w:p w14:paraId="240751D6" w14:textId="77777777" w:rsidR="00E20306" w:rsidRDefault="00E20306" w:rsidP="00E20306">
      <w:pPr>
        <w:pStyle w:val="Fait"/>
      </w:pPr>
      <w:r w:rsidRPr="00D636A0">
        <w:lastRenderedPageBreak/>
        <w:t>Done at Brussels,</w:t>
      </w:r>
    </w:p>
    <w:p w14:paraId="47DB4506" w14:textId="77777777" w:rsidR="00E20306" w:rsidRDefault="00E20306" w:rsidP="00E20306">
      <w:pPr>
        <w:pStyle w:val="Institutionquisigne"/>
      </w:pPr>
      <w:r w:rsidRPr="000C0E08">
        <w:tab/>
        <w:t>For the Commission</w:t>
      </w:r>
    </w:p>
    <w:p w14:paraId="41F3DF8E" w14:textId="77777777" w:rsidR="00E20306" w:rsidRPr="007A180E" w:rsidRDefault="00E20306" w:rsidP="00E20306">
      <w:pPr>
        <w:pStyle w:val="Personnequisigne"/>
        <w:rPr>
          <w:lang w:val="en-IE"/>
        </w:rPr>
      </w:pPr>
      <w:r w:rsidRPr="000C0E08">
        <w:tab/>
        <w:t>The President</w:t>
      </w:r>
      <w:r w:rsidRPr="000C0E08">
        <w:br/>
      </w:r>
      <w:r w:rsidRPr="000C0E08">
        <w:tab/>
      </w:r>
      <w:r w:rsidRPr="00BA32EC">
        <w:rPr>
          <w:lang w:val="en-IE"/>
        </w:rPr>
        <w:t>Ursula von der Leyen</w:t>
      </w:r>
    </w:p>
    <w:sectPr w:rsidR="00E20306" w:rsidRPr="007A180E" w:rsidSect="00ED4D4F">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9B80" w14:textId="77777777" w:rsidR="00927429" w:rsidRDefault="00927429" w:rsidP="00B10D1A">
      <w:pPr>
        <w:spacing w:before="0" w:after="0"/>
      </w:pPr>
      <w:r>
        <w:separator/>
      </w:r>
    </w:p>
  </w:endnote>
  <w:endnote w:type="continuationSeparator" w:id="0">
    <w:p w14:paraId="6E13753D" w14:textId="77777777" w:rsidR="00927429" w:rsidRDefault="00927429" w:rsidP="00B10D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EE50" w14:textId="77777777" w:rsidR="00ED4D4F" w:rsidRPr="00ED4D4F" w:rsidRDefault="00ED4D4F" w:rsidP="00ED4D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73EB" w14:textId="6B8F0A90" w:rsidR="00B10D1A" w:rsidRPr="00ED4D4F" w:rsidRDefault="00ED4D4F" w:rsidP="00ED4D4F">
    <w:pPr>
      <w:pStyle w:val="Rodap"/>
      <w:rPr>
        <w:rFonts w:ascii="Arial" w:hAnsi="Arial" w:cs="Arial"/>
        <w:b/>
        <w:sz w:val="48"/>
      </w:rPr>
    </w:pPr>
    <w:r w:rsidRPr="00ED4D4F">
      <w:rPr>
        <w:rFonts w:ascii="Arial" w:hAnsi="Arial" w:cs="Arial"/>
        <w:b/>
        <w:sz w:val="48"/>
      </w:rPr>
      <w:t>EN</w:t>
    </w:r>
    <w:r w:rsidRPr="00ED4D4F">
      <w:rPr>
        <w:rFonts w:ascii="Arial" w:hAnsi="Arial" w:cs="Arial"/>
        <w:b/>
        <w:sz w:val="48"/>
      </w:rPr>
      <w:tab/>
    </w:r>
    <w:r w:rsidRPr="00ED4D4F">
      <w:rPr>
        <w:rFonts w:ascii="Arial" w:hAnsi="Arial" w:cs="Arial"/>
        <w:b/>
        <w:sz w:val="48"/>
      </w:rPr>
      <w:tab/>
    </w:r>
    <w:r w:rsidRPr="00ED4D4F">
      <w:tab/>
    </w:r>
    <w:proofErr w:type="spellStart"/>
    <w:r w:rsidRPr="00ED4D4F">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757" w14:textId="77777777" w:rsidR="00ED4D4F" w:rsidRPr="00ED4D4F" w:rsidRDefault="00ED4D4F" w:rsidP="00ED4D4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4712" w14:textId="7D6837B6" w:rsidR="00ED4D4F" w:rsidRPr="00ED4D4F" w:rsidRDefault="00ED4D4F" w:rsidP="00ED4D4F">
    <w:pPr>
      <w:pStyle w:val="Rodap"/>
      <w:rPr>
        <w:rFonts w:ascii="Arial" w:hAnsi="Arial" w:cs="Arial"/>
        <w:b/>
        <w:sz w:val="48"/>
      </w:rPr>
    </w:pPr>
    <w:r w:rsidRPr="00ED4D4F">
      <w:rPr>
        <w:rFonts w:ascii="Arial" w:hAnsi="Arial" w:cs="Arial"/>
        <w:b/>
        <w:sz w:val="48"/>
      </w:rPr>
      <w:t>EN</w:t>
    </w:r>
    <w:r w:rsidRPr="00ED4D4F">
      <w:rPr>
        <w:rFonts w:ascii="Arial" w:hAnsi="Arial" w:cs="Arial"/>
        <w:b/>
        <w:sz w:val="48"/>
      </w:rPr>
      <w:tab/>
    </w:r>
    <w:r>
      <w:fldChar w:fldCharType="begin"/>
    </w:r>
    <w:r>
      <w:instrText xml:space="preserve"> PAGE  \* MERGEFORMAT </w:instrText>
    </w:r>
    <w:r>
      <w:fldChar w:fldCharType="separate"/>
    </w:r>
    <w:r w:rsidR="008626DE">
      <w:rPr>
        <w:noProof/>
      </w:rPr>
      <w:t>1</w:t>
    </w:r>
    <w:r>
      <w:fldChar w:fldCharType="end"/>
    </w:r>
    <w:r>
      <w:tab/>
    </w:r>
    <w:r w:rsidRPr="00ED4D4F">
      <w:tab/>
    </w:r>
    <w:r w:rsidRPr="00ED4D4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3DFF" w14:textId="77777777" w:rsidR="00ED4D4F" w:rsidRPr="00ED4D4F" w:rsidRDefault="00ED4D4F" w:rsidP="00ED4D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5058" w14:textId="77777777" w:rsidR="00927429" w:rsidRDefault="00927429" w:rsidP="00B10D1A">
      <w:pPr>
        <w:spacing w:before="0" w:after="0"/>
      </w:pPr>
      <w:r>
        <w:separator/>
      </w:r>
    </w:p>
  </w:footnote>
  <w:footnote w:type="continuationSeparator" w:id="0">
    <w:p w14:paraId="3D687BE8" w14:textId="77777777" w:rsidR="00927429" w:rsidRDefault="00927429" w:rsidP="00B10D1A">
      <w:pPr>
        <w:spacing w:before="0" w:after="0"/>
      </w:pPr>
      <w:r>
        <w:continuationSeparator/>
      </w:r>
    </w:p>
  </w:footnote>
  <w:footnote w:id="1">
    <w:p w14:paraId="4014939F" w14:textId="77777777" w:rsidR="00E20306" w:rsidRPr="00AD2A29" w:rsidRDefault="00E20306" w:rsidP="00E20306">
      <w:pPr>
        <w:pStyle w:val="Textodenotaderodap"/>
        <w:rPr>
          <w:lang w:val="en-IE"/>
        </w:rPr>
      </w:pPr>
      <w:r>
        <w:rPr>
          <w:rStyle w:val="Refdenotaderodap"/>
        </w:rPr>
        <w:footnoteRef/>
      </w:r>
      <w:r w:rsidRPr="00AD2A29">
        <w:rPr>
          <w:lang w:val="en-IE"/>
        </w:rPr>
        <w:tab/>
      </w:r>
      <w:r w:rsidRPr="00A63CE7">
        <w:t>OJ L 342, 22.12.2009, p. 59.</w:t>
      </w:r>
    </w:p>
  </w:footnote>
  <w:footnote w:id="2">
    <w:p w14:paraId="7070241C" w14:textId="77777777" w:rsidR="00E20306" w:rsidRPr="00AD2A29" w:rsidRDefault="00E20306" w:rsidP="00E20306">
      <w:pPr>
        <w:pStyle w:val="Textodenotaderodap"/>
        <w:rPr>
          <w:lang w:val="en-IE"/>
        </w:rPr>
      </w:pPr>
      <w:r>
        <w:rPr>
          <w:rStyle w:val="Refdenotaderodap"/>
        </w:rPr>
        <w:footnoteRef/>
      </w:r>
      <w:r w:rsidRPr="00AD2A29">
        <w:rPr>
          <w:lang w:val="en-IE"/>
        </w:rPr>
        <w:tab/>
      </w:r>
      <w:r w:rsidRPr="007018BA">
        <w:t xml:space="preserve">Regulation (EC) No 1272/2008 of the European Parliament and of the Council of 16 December 2008 on classification, labelling and packaging of substances and mixtures, amending and repealing Directives 67/548/EEC and 1999/45/EC, and amending Regulation (EC) No 1907/2006 </w:t>
      </w:r>
      <w:r>
        <w:t>(</w:t>
      </w:r>
      <w:r w:rsidRPr="007018BA">
        <w:t>OJ L 353, 31.12.2008, p. 1</w:t>
      </w:r>
      <w:r>
        <w:t>)</w:t>
      </w:r>
      <w:r w:rsidRPr="007018BA">
        <w:t>.</w:t>
      </w:r>
    </w:p>
  </w:footnote>
  <w:footnote w:id="3">
    <w:p w14:paraId="19262ED9" w14:textId="389EB69F" w:rsidR="00E20306" w:rsidRPr="00AD2A29" w:rsidRDefault="00E20306" w:rsidP="00E20306">
      <w:pPr>
        <w:pStyle w:val="Textodenotaderodap"/>
        <w:rPr>
          <w:lang w:val="en-IE"/>
        </w:rPr>
      </w:pPr>
      <w:r>
        <w:rPr>
          <w:rStyle w:val="Refdenotaderodap"/>
        </w:rPr>
        <w:footnoteRef/>
      </w:r>
      <w:r w:rsidRPr="00AD2A29">
        <w:rPr>
          <w:lang w:val="en-IE"/>
        </w:rPr>
        <w:tab/>
      </w:r>
      <w:r>
        <w:t xml:space="preserve">Commission Delegated Regulation (EU) </w:t>
      </w:r>
      <w:r w:rsidRPr="00E94D52">
        <w:t>202</w:t>
      </w:r>
      <w:r>
        <w:t xml:space="preserve">2/692 of 16 February 2022 amending, for the purposes of its adaptation to technical and scientific progress, Regulation (EC) No 1272/2008 of the European </w:t>
      </w:r>
      <w:r w:rsidRPr="00821775">
        <w:t>Parliament and of the Council on classification, labelling and packaging of substances and mixtures (OJ L 129, 3.5.2022, p.</w:t>
      </w:r>
      <w:r w:rsidRPr="00821775">
        <w:rPr>
          <w:iCs/>
        </w:rPr>
        <w:t>1–17</w:t>
      </w:r>
      <w:r w:rsidRPr="008217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0465" w14:textId="77777777" w:rsidR="00ED4D4F" w:rsidRPr="00ED4D4F" w:rsidRDefault="00ED4D4F" w:rsidP="00ED4D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246D" w14:textId="77777777" w:rsidR="00ED4D4F" w:rsidRPr="00ED4D4F" w:rsidRDefault="00ED4D4F" w:rsidP="00ED4D4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F3BD" w14:textId="77777777" w:rsidR="00ED4D4F" w:rsidRPr="00ED4D4F" w:rsidRDefault="00ED4D4F" w:rsidP="00ED4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94E778E"/>
    <w:lvl w:ilvl="0">
      <w:start w:val="1"/>
      <w:numFmt w:val="decimal"/>
      <w:pStyle w:val="Listanumerada4"/>
      <w:lvlText w:val="%1."/>
      <w:lvlJc w:val="left"/>
      <w:pPr>
        <w:tabs>
          <w:tab w:val="num" w:pos="1209"/>
        </w:tabs>
        <w:ind w:left="1209" w:hanging="360"/>
      </w:pPr>
    </w:lvl>
  </w:abstractNum>
  <w:abstractNum w:abstractNumId="1" w15:restartNumberingAfterBreak="0">
    <w:nsid w:val="FFFFFF7E"/>
    <w:multiLevelType w:val="singleLevel"/>
    <w:tmpl w:val="2D44E502"/>
    <w:lvl w:ilvl="0">
      <w:start w:val="1"/>
      <w:numFmt w:val="decimal"/>
      <w:pStyle w:val="Listanumerada3"/>
      <w:lvlText w:val="%1."/>
      <w:lvlJc w:val="left"/>
      <w:pPr>
        <w:tabs>
          <w:tab w:val="num" w:pos="926"/>
        </w:tabs>
        <w:ind w:left="926" w:hanging="360"/>
      </w:pPr>
    </w:lvl>
  </w:abstractNum>
  <w:abstractNum w:abstractNumId="2" w15:restartNumberingAfterBreak="0">
    <w:nsid w:val="FFFFFF7F"/>
    <w:multiLevelType w:val="singleLevel"/>
    <w:tmpl w:val="E932EB5A"/>
    <w:lvl w:ilvl="0">
      <w:start w:val="1"/>
      <w:numFmt w:val="decimal"/>
      <w:pStyle w:val="Listanumerada2"/>
      <w:lvlText w:val="%1."/>
      <w:lvlJc w:val="left"/>
      <w:pPr>
        <w:tabs>
          <w:tab w:val="num" w:pos="643"/>
        </w:tabs>
        <w:ind w:left="643" w:hanging="360"/>
      </w:pPr>
    </w:lvl>
  </w:abstractNum>
  <w:abstractNum w:abstractNumId="3" w15:restartNumberingAfterBreak="0">
    <w:nsid w:val="FFFFFF81"/>
    <w:multiLevelType w:val="singleLevel"/>
    <w:tmpl w:val="D6C6FD24"/>
    <w:lvl w:ilvl="0">
      <w:start w:val="1"/>
      <w:numFmt w:val="bullet"/>
      <w:pStyle w:val="Listacommarc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472CD76"/>
    <w:lvl w:ilvl="0">
      <w:start w:val="1"/>
      <w:numFmt w:val="bullet"/>
      <w:pStyle w:val="Listacommarc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B2652CC"/>
    <w:lvl w:ilvl="0">
      <w:start w:val="1"/>
      <w:numFmt w:val="bullet"/>
      <w:pStyle w:val="Listacommarc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28CD70E"/>
    <w:lvl w:ilvl="0">
      <w:start w:val="1"/>
      <w:numFmt w:val="decimal"/>
      <w:pStyle w:val="Listanumerada"/>
      <w:lvlText w:val="%1."/>
      <w:lvlJc w:val="left"/>
      <w:pPr>
        <w:tabs>
          <w:tab w:val="num" w:pos="360"/>
        </w:tabs>
        <w:ind w:left="360" w:hanging="360"/>
      </w:pPr>
    </w:lvl>
  </w:abstractNum>
  <w:abstractNum w:abstractNumId="7" w15:restartNumberingAfterBreak="0">
    <w:nsid w:val="FFFFFF89"/>
    <w:multiLevelType w:val="singleLevel"/>
    <w:tmpl w:val="8618E974"/>
    <w:lvl w:ilvl="0">
      <w:start w:val="1"/>
      <w:numFmt w:val="bullet"/>
      <w:pStyle w:val="Listacommarca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Ttulo1"/>
      <w:lvlText w:val="%1."/>
      <w:lvlJc w:val="left"/>
      <w:pPr>
        <w:tabs>
          <w:tab w:val="num" w:pos="850"/>
        </w:tabs>
        <w:ind w:left="850" w:hanging="850"/>
      </w:pPr>
    </w:lvl>
    <w:lvl w:ilvl="1">
      <w:start w:val="1"/>
      <w:numFmt w:val="decimal"/>
      <w:pStyle w:val="Ttulo2"/>
      <w:lvlText w:val="%1.%2."/>
      <w:lvlJc w:val="left"/>
      <w:pPr>
        <w:tabs>
          <w:tab w:val="num" w:pos="850"/>
        </w:tabs>
        <w:ind w:left="850" w:hanging="850"/>
      </w:pPr>
    </w:lvl>
    <w:lvl w:ilvl="2">
      <w:start w:val="1"/>
      <w:numFmt w:val="decimal"/>
      <w:pStyle w:val="Ttulo3"/>
      <w:lvlText w:val="%1.%2.%3."/>
      <w:lvlJc w:val="left"/>
      <w:pPr>
        <w:tabs>
          <w:tab w:val="num" w:pos="850"/>
        </w:tabs>
        <w:ind w:left="850" w:hanging="850"/>
      </w:pPr>
    </w:lvl>
    <w:lvl w:ilvl="3">
      <w:start w:val="1"/>
      <w:numFmt w:val="decimal"/>
      <w:pStyle w:val="Ttulo4"/>
      <w:lvlText w:val="%1.%2.%3.%4."/>
      <w:lvlJc w:val="left"/>
      <w:pPr>
        <w:tabs>
          <w:tab w:val="num" w:pos="850"/>
        </w:tabs>
        <w:ind w:left="850" w:hanging="850"/>
      </w:pPr>
    </w:lvl>
    <w:lvl w:ilvl="4">
      <w:start w:val="1"/>
      <w:numFmt w:val="decimal"/>
      <w:pStyle w:val="Ttulo5"/>
      <w:lvlText w:val="%1.%2.%3.%4.%5."/>
      <w:lvlJc w:val="left"/>
      <w:pPr>
        <w:tabs>
          <w:tab w:val="num" w:pos="1417"/>
        </w:tabs>
        <w:ind w:left="1417" w:hanging="1417"/>
      </w:pPr>
    </w:lvl>
    <w:lvl w:ilvl="5">
      <w:start w:val="1"/>
      <w:numFmt w:val="decimal"/>
      <w:pStyle w:val="Ttulo6"/>
      <w:lvlText w:val="%1.%2.%3.%4.%5.%6."/>
      <w:lvlJc w:val="left"/>
      <w:pPr>
        <w:tabs>
          <w:tab w:val="num" w:pos="1417"/>
        </w:tabs>
        <w:ind w:left="1417" w:hanging="1417"/>
      </w:pPr>
    </w:lvl>
    <w:lvl w:ilvl="6">
      <w:start w:val="1"/>
      <w:numFmt w:val="decimal"/>
      <w:pStyle w:val="Ttulo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71698903">
    <w:abstractNumId w:val="7"/>
  </w:num>
  <w:num w:numId="2" w16cid:durableId="928392906">
    <w:abstractNumId w:val="5"/>
  </w:num>
  <w:num w:numId="3" w16cid:durableId="252058653">
    <w:abstractNumId w:val="4"/>
  </w:num>
  <w:num w:numId="4" w16cid:durableId="1238049855">
    <w:abstractNumId w:val="3"/>
  </w:num>
  <w:num w:numId="5" w16cid:durableId="770979037">
    <w:abstractNumId w:val="22"/>
    <w:lvlOverride w:ilvl="0">
      <w:startOverride w:val="1"/>
    </w:lvlOverride>
  </w:num>
  <w:num w:numId="6" w16cid:durableId="667901053">
    <w:abstractNumId w:val="6"/>
  </w:num>
  <w:num w:numId="7" w16cid:durableId="862475080">
    <w:abstractNumId w:val="2"/>
  </w:num>
  <w:num w:numId="8" w16cid:durableId="1530603112">
    <w:abstractNumId w:val="1"/>
  </w:num>
  <w:num w:numId="9" w16cid:durableId="1050881384">
    <w:abstractNumId w:val="0"/>
  </w:num>
  <w:num w:numId="10" w16cid:durableId="27293931">
    <w:abstractNumId w:val="19"/>
  </w:num>
  <w:num w:numId="11" w16cid:durableId="1784377128">
    <w:abstractNumId w:val="12"/>
  </w:num>
  <w:num w:numId="12" w16cid:durableId="978193677">
    <w:abstractNumId w:val="21"/>
  </w:num>
  <w:num w:numId="13" w16cid:durableId="345256965">
    <w:abstractNumId w:val="11"/>
  </w:num>
  <w:num w:numId="14" w16cid:durableId="831607645">
    <w:abstractNumId w:val="13"/>
  </w:num>
  <w:num w:numId="15" w16cid:durableId="496921903">
    <w:abstractNumId w:val="14"/>
  </w:num>
  <w:num w:numId="16" w16cid:durableId="1333292653">
    <w:abstractNumId w:val="9"/>
  </w:num>
  <w:num w:numId="17" w16cid:durableId="1918899176">
    <w:abstractNumId w:val="20"/>
  </w:num>
  <w:num w:numId="18" w16cid:durableId="2113355663">
    <w:abstractNumId w:val="8"/>
  </w:num>
  <w:num w:numId="19" w16cid:durableId="1665627073">
    <w:abstractNumId w:val="15"/>
  </w:num>
  <w:num w:numId="20" w16cid:durableId="160704200">
    <w:abstractNumId w:val="17"/>
  </w:num>
  <w:num w:numId="21" w16cid:durableId="455029669">
    <w:abstractNumId w:val="18"/>
  </w:num>
  <w:num w:numId="22" w16cid:durableId="1327242103">
    <w:abstractNumId w:val="10"/>
  </w:num>
  <w:num w:numId="23" w16cid:durableId="1534536623">
    <w:abstractNumId w:val="16"/>
  </w:num>
  <w:num w:numId="24" w16cid:durableId="376246702">
    <w:abstractNumId w:val="22"/>
  </w:num>
  <w:num w:numId="25" w16cid:durableId="832528231">
    <w:abstractNumId w:val="19"/>
  </w:num>
  <w:num w:numId="26" w16cid:durableId="69353742">
    <w:abstractNumId w:val="12"/>
  </w:num>
  <w:num w:numId="27" w16cid:durableId="470899714">
    <w:abstractNumId w:val="21"/>
  </w:num>
  <w:num w:numId="28" w16cid:durableId="844831260">
    <w:abstractNumId w:val="11"/>
  </w:num>
  <w:num w:numId="29" w16cid:durableId="1029262309">
    <w:abstractNumId w:val="13"/>
  </w:num>
  <w:num w:numId="30" w16cid:durableId="1390499605">
    <w:abstractNumId w:val="14"/>
  </w:num>
  <w:num w:numId="31" w16cid:durableId="1960604767">
    <w:abstractNumId w:val="9"/>
  </w:num>
  <w:num w:numId="32" w16cid:durableId="1139029006">
    <w:abstractNumId w:val="20"/>
  </w:num>
  <w:num w:numId="33" w16cid:durableId="844319240">
    <w:abstractNumId w:val="8"/>
  </w:num>
  <w:num w:numId="34" w16cid:durableId="1764297698">
    <w:abstractNumId w:val="15"/>
  </w:num>
  <w:num w:numId="35" w16cid:durableId="993340466">
    <w:abstractNumId w:val="17"/>
  </w:num>
  <w:num w:numId="36" w16cid:durableId="440997871">
    <w:abstractNumId w:val="18"/>
  </w:num>
  <w:num w:numId="37" w16cid:durableId="1849905079">
    <w:abstractNumId w:val="10"/>
  </w:num>
  <w:num w:numId="38" w16cid:durableId="34088922">
    <w:abstractNumId w:val="16"/>
  </w:num>
  <w:num w:numId="39" w16cid:durableId="100054636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1-10 09:33: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9A7735F-48C3-47FA-833D-10DEF4DD1885"/>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C) No 1223/2009 of the European Parliament and of the Council as regards the use in cosmetic products of certain substances classified as carcinogenic, mutagenic or toxic for reproduction_x000b_"/>
    <w:docVar w:name="LW_TYPE.DOC.CP" w:val="COMMISSION REGULATION (EU) \u8230?/\u8230?"/>
  </w:docVars>
  <w:rsids>
    <w:rsidRoot w:val="00B10D1A"/>
    <w:rsid w:val="000B7A7D"/>
    <w:rsid w:val="00152894"/>
    <w:rsid w:val="00186937"/>
    <w:rsid w:val="00281958"/>
    <w:rsid w:val="002C13BC"/>
    <w:rsid w:val="00396ACD"/>
    <w:rsid w:val="00437AA5"/>
    <w:rsid w:val="00457049"/>
    <w:rsid w:val="00492396"/>
    <w:rsid w:val="004E19F9"/>
    <w:rsid w:val="00517205"/>
    <w:rsid w:val="005319D3"/>
    <w:rsid w:val="00542487"/>
    <w:rsid w:val="00582810"/>
    <w:rsid w:val="005916E8"/>
    <w:rsid w:val="00595540"/>
    <w:rsid w:val="005B5FA6"/>
    <w:rsid w:val="005D2043"/>
    <w:rsid w:val="005E3CD5"/>
    <w:rsid w:val="006654AB"/>
    <w:rsid w:val="00691D2C"/>
    <w:rsid w:val="006F7EFE"/>
    <w:rsid w:val="007077A3"/>
    <w:rsid w:val="00772634"/>
    <w:rsid w:val="007D0861"/>
    <w:rsid w:val="007E010B"/>
    <w:rsid w:val="00802FC2"/>
    <w:rsid w:val="00810ACA"/>
    <w:rsid w:val="008176A3"/>
    <w:rsid w:val="008626DE"/>
    <w:rsid w:val="008D06B4"/>
    <w:rsid w:val="008E2694"/>
    <w:rsid w:val="00927429"/>
    <w:rsid w:val="00935573"/>
    <w:rsid w:val="00940731"/>
    <w:rsid w:val="009957C5"/>
    <w:rsid w:val="009D1F72"/>
    <w:rsid w:val="00A565C7"/>
    <w:rsid w:val="00AB78FE"/>
    <w:rsid w:val="00B10D1A"/>
    <w:rsid w:val="00B12941"/>
    <w:rsid w:val="00B15F3E"/>
    <w:rsid w:val="00B83196"/>
    <w:rsid w:val="00C078EF"/>
    <w:rsid w:val="00C3731F"/>
    <w:rsid w:val="00D93402"/>
    <w:rsid w:val="00DB4B20"/>
    <w:rsid w:val="00E07235"/>
    <w:rsid w:val="00E20306"/>
    <w:rsid w:val="00E33C9F"/>
    <w:rsid w:val="00E95942"/>
    <w:rsid w:val="00E979AB"/>
    <w:rsid w:val="00EC39BC"/>
    <w:rsid w:val="00ED4D4F"/>
    <w:rsid w:val="00EE140B"/>
    <w:rsid w:val="00F7616D"/>
    <w:rsid w:val="00F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3A5B3"/>
  <w15:docId w15:val="{2456EF37-4A64-4D8D-B2A1-53853908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Ttulo1">
    <w:name w:val="heading 1"/>
    <w:basedOn w:val="Normal"/>
    <w:next w:val="Text1"/>
    <w:link w:val="Ttulo1Carter"/>
    <w:uiPriority w:val="9"/>
    <w:qFormat/>
    <w:pPr>
      <w:keepNext/>
      <w:numPr>
        <w:numId w:val="32"/>
      </w:numPr>
      <w:spacing w:before="360"/>
      <w:outlineLvl w:val="0"/>
    </w:pPr>
    <w:rPr>
      <w:rFonts w:eastAsiaTheme="majorEastAsia"/>
      <w:b/>
      <w:bCs/>
      <w:smallCaps/>
      <w:szCs w:val="28"/>
    </w:rPr>
  </w:style>
  <w:style w:type="paragraph" w:styleId="Ttulo2">
    <w:name w:val="heading 2"/>
    <w:basedOn w:val="Normal"/>
    <w:next w:val="Text1"/>
    <w:link w:val="Ttulo2Carter"/>
    <w:uiPriority w:val="9"/>
    <w:semiHidden/>
    <w:unhideWhenUsed/>
    <w:qFormat/>
    <w:pPr>
      <w:keepNext/>
      <w:numPr>
        <w:ilvl w:val="1"/>
        <w:numId w:val="32"/>
      </w:numPr>
      <w:outlineLvl w:val="1"/>
    </w:pPr>
    <w:rPr>
      <w:rFonts w:eastAsiaTheme="majorEastAsia"/>
      <w:b/>
      <w:bCs/>
      <w:szCs w:val="26"/>
    </w:rPr>
  </w:style>
  <w:style w:type="paragraph" w:styleId="Ttulo3">
    <w:name w:val="heading 3"/>
    <w:basedOn w:val="Normal"/>
    <w:next w:val="Text1"/>
    <w:link w:val="Ttulo3Carter"/>
    <w:uiPriority w:val="9"/>
    <w:semiHidden/>
    <w:unhideWhenUsed/>
    <w:qFormat/>
    <w:pPr>
      <w:keepNext/>
      <w:numPr>
        <w:ilvl w:val="2"/>
        <w:numId w:val="32"/>
      </w:numPr>
      <w:outlineLvl w:val="2"/>
    </w:pPr>
    <w:rPr>
      <w:rFonts w:eastAsiaTheme="majorEastAsia"/>
      <w:bCs/>
      <w:i/>
    </w:rPr>
  </w:style>
  <w:style w:type="paragraph" w:styleId="Ttulo4">
    <w:name w:val="heading 4"/>
    <w:basedOn w:val="Normal"/>
    <w:next w:val="Text1"/>
    <w:link w:val="Ttulo4Carter"/>
    <w:uiPriority w:val="9"/>
    <w:semiHidden/>
    <w:unhideWhenUsed/>
    <w:qFormat/>
    <w:pPr>
      <w:keepNext/>
      <w:numPr>
        <w:ilvl w:val="3"/>
        <w:numId w:val="32"/>
      </w:numPr>
      <w:outlineLvl w:val="3"/>
    </w:pPr>
    <w:rPr>
      <w:rFonts w:eastAsiaTheme="majorEastAsia"/>
      <w:bCs/>
      <w:iCs/>
    </w:rPr>
  </w:style>
  <w:style w:type="paragraph" w:styleId="Ttulo5">
    <w:name w:val="heading 5"/>
    <w:basedOn w:val="Normal"/>
    <w:next w:val="Text2"/>
    <w:link w:val="Ttulo5Carter"/>
    <w:uiPriority w:val="9"/>
    <w:semiHidden/>
    <w:unhideWhenUsed/>
    <w:qFormat/>
    <w:pPr>
      <w:keepNext/>
      <w:numPr>
        <w:ilvl w:val="4"/>
        <w:numId w:val="32"/>
      </w:numPr>
      <w:outlineLvl w:val="4"/>
    </w:pPr>
    <w:rPr>
      <w:rFonts w:eastAsiaTheme="majorEastAsia"/>
    </w:rPr>
  </w:style>
  <w:style w:type="paragraph" w:styleId="Ttulo6">
    <w:name w:val="heading 6"/>
    <w:basedOn w:val="Normal"/>
    <w:next w:val="Text2"/>
    <w:link w:val="Ttulo6Carter"/>
    <w:uiPriority w:val="9"/>
    <w:semiHidden/>
    <w:unhideWhenUsed/>
    <w:qFormat/>
    <w:pPr>
      <w:keepNext/>
      <w:numPr>
        <w:ilvl w:val="5"/>
        <w:numId w:val="32"/>
      </w:numPr>
      <w:outlineLvl w:val="5"/>
    </w:pPr>
    <w:rPr>
      <w:rFonts w:eastAsiaTheme="majorEastAsia"/>
      <w:iCs/>
    </w:rPr>
  </w:style>
  <w:style w:type="paragraph" w:styleId="Ttulo7">
    <w:name w:val="heading 7"/>
    <w:basedOn w:val="Normal"/>
    <w:next w:val="Text2"/>
    <w:link w:val="Ttulo7Carter"/>
    <w:uiPriority w:val="9"/>
    <w:semiHidden/>
    <w:unhideWhenUsed/>
    <w:qFormat/>
    <w:pPr>
      <w:keepNext/>
      <w:numPr>
        <w:ilvl w:val="6"/>
        <w:numId w:val="32"/>
      </w:numPr>
      <w:outlineLvl w:val="6"/>
    </w:pPr>
    <w:rPr>
      <w:rFonts w:eastAsiaTheme="majorEastAsia"/>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commarcas">
    <w:name w:val="List Bullet"/>
    <w:basedOn w:val="Normal"/>
    <w:uiPriority w:val="99"/>
    <w:semiHidden/>
    <w:unhideWhenUsed/>
    <w:rsid w:val="00E20306"/>
    <w:pPr>
      <w:numPr>
        <w:numId w:val="1"/>
      </w:numPr>
      <w:contextualSpacing/>
    </w:pPr>
  </w:style>
  <w:style w:type="paragraph" w:styleId="Listacommarcas2">
    <w:name w:val="List Bullet 2"/>
    <w:basedOn w:val="Normal"/>
    <w:uiPriority w:val="99"/>
    <w:semiHidden/>
    <w:unhideWhenUsed/>
    <w:rsid w:val="00E20306"/>
    <w:pPr>
      <w:numPr>
        <w:numId w:val="2"/>
      </w:numPr>
      <w:contextualSpacing/>
    </w:pPr>
  </w:style>
  <w:style w:type="paragraph" w:styleId="Listacommarcas3">
    <w:name w:val="List Bullet 3"/>
    <w:basedOn w:val="Normal"/>
    <w:uiPriority w:val="99"/>
    <w:semiHidden/>
    <w:unhideWhenUsed/>
    <w:rsid w:val="00E20306"/>
    <w:pPr>
      <w:numPr>
        <w:numId w:val="3"/>
      </w:numPr>
      <w:contextualSpacing/>
    </w:pPr>
  </w:style>
  <w:style w:type="paragraph" w:styleId="Listacommarcas4">
    <w:name w:val="List Bullet 4"/>
    <w:basedOn w:val="Normal"/>
    <w:uiPriority w:val="99"/>
    <w:semiHidden/>
    <w:unhideWhenUsed/>
    <w:rsid w:val="00E20306"/>
    <w:pPr>
      <w:numPr>
        <w:numId w:val="4"/>
      </w:numPr>
      <w:contextualSpacing/>
    </w:pPr>
  </w:style>
  <w:style w:type="paragraph" w:styleId="Textodebalo">
    <w:name w:val="Balloon Text"/>
    <w:basedOn w:val="Normal"/>
    <w:link w:val="TextodebaloCarter"/>
    <w:uiPriority w:val="99"/>
    <w:semiHidden/>
    <w:unhideWhenUsed/>
    <w:rsid w:val="009D1F72"/>
    <w:pPr>
      <w:spacing w:before="0" w:after="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D1F72"/>
    <w:rPr>
      <w:rFonts w:ascii="Segoe UI" w:hAnsi="Segoe UI" w:cs="Segoe UI"/>
      <w:sz w:val="18"/>
      <w:szCs w:val="18"/>
      <w:lang w:val="en-GB"/>
    </w:rPr>
  </w:style>
  <w:style w:type="paragraph" w:styleId="Legenda">
    <w:name w:val="caption"/>
    <w:basedOn w:val="Normal"/>
    <w:next w:val="Normal"/>
    <w:uiPriority w:val="35"/>
    <w:semiHidden/>
    <w:unhideWhenUsed/>
    <w:qFormat/>
    <w:rsid w:val="005916E8"/>
    <w:pPr>
      <w:spacing w:before="0" w:after="200"/>
    </w:pPr>
    <w:rPr>
      <w:i/>
      <w:iCs/>
      <w:color w:val="1F497D" w:themeColor="text2"/>
      <w:sz w:val="18"/>
      <w:szCs w:val="18"/>
    </w:rPr>
  </w:style>
  <w:style w:type="paragraph" w:styleId="ndicedeilustraes">
    <w:name w:val="table of figures"/>
    <w:basedOn w:val="Normal"/>
    <w:next w:val="Normal"/>
    <w:uiPriority w:val="99"/>
    <w:semiHidden/>
    <w:unhideWhenUsed/>
    <w:rsid w:val="005916E8"/>
    <w:pPr>
      <w:spacing w:after="0"/>
    </w:pPr>
  </w:style>
  <w:style w:type="paragraph" w:styleId="Listanumerada">
    <w:name w:val="List Number"/>
    <w:basedOn w:val="Normal"/>
    <w:uiPriority w:val="99"/>
    <w:semiHidden/>
    <w:unhideWhenUsed/>
    <w:rsid w:val="005916E8"/>
    <w:pPr>
      <w:numPr>
        <w:numId w:val="6"/>
      </w:numPr>
      <w:contextualSpacing/>
    </w:pPr>
  </w:style>
  <w:style w:type="paragraph" w:styleId="Listanumerada2">
    <w:name w:val="List Number 2"/>
    <w:basedOn w:val="Normal"/>
    <w:uiPriority w:val="99"/>
    <w:semiHidden/>
    <w:unhideWhenUsed/>
    <w:rsid w:val="005916E8"/>
    <w:pPr>
      <w:numPr>
        <w:numId w:val="7"/>
      </w:numPr>
      <w:contextualSpacing/>
    </w:pPr>
  </w:style>
  <w:style w:type="paragraph" w:styleId="Listanumerada3">
    <w:name w:val="List Number 3"/>
    <w:basedOn w:val="Normal"/>
    <w:uiPriority w:val="99"/>
    <w:semiHidden/>
    <w:unhideWhenUsed/>
    <w:rsid w:val="005916E8"/>
    <w:pPr>
      <w:numPr>
        <w:numId w:val="8"/>
      </w:numPr>
      <w:contextualSpacing/>
    </w:pPr>
  </w:style>
  <w:style w:type="paragraph" w:styleId="Listanumerada4">
    <w:name w:val="List Number 4"/>
    <w:basedOn w:val="Normal"/>
    <w:uiPriority w:val="99"/>
    <w:semiHidden/>
    <w:unhideWhenUsed/>
    <w:rsid w:val="005916E8"/>
    <w:pPr>
      <w:numPr>
        <w:numId w:val="9"/>
      </w:numPr>
      <w:contextualSpacing/>
    </w:pPr>
  </w:style>
  <w:style w:type="character" w:styleId="Refdecomentrio">
    <w:name w:val="annotation reference"/>
    <w:basedOn w:val="Tipodeletrapredefinidodopargrafo"/>
    <w:uiPriority w:val="99"/>
    <w:semiHidden/>
    <w:unhideWhenUsed/>
    <w:rsid w:val="00D93402"/>
    <w:rPr>
      <w:sz w:val="16"/>
      <w:szCs w:val="16"/>
    </w:rPr>
  </w:style>
  <w:style w:type="paragraph" w:styleId="Textodecomentrio">
    <w:name w:val="annotation text"/>
    <w:basedOn w:val="Normal"/>
    <w:link w:val="TextodecomentrioCarter"/>
    <w:uiPriority w:val="99"/>
    <w:semiHidden/>
    <w:unhideWhenUsed/>
    <w:rsid w:val="00D93402"/>
    <w:rPr>
      <w:sz w:val="20"/>
      <w:szCs w:val="20"/>
    </w:rPr>
  </w:style>
  <w:style w:type="character" w:customStyle="1" w:styleId="TextodecomentrioCarter">
    <w:name w:val="Texto de comentário Caráter"/>
    <w:basedOn w:val="Tipodeletrapredefinidodopargrafo"/>
    <w:link w:val="Textodecomentrio"/>
    <w:uiPriority w:val="99"/>
    <w:semiHidden/>
    <w:rsid w:val="00D93402"/>
    <w:rPr>
      <w:rFonts w:ascii="Times New Roman" w:hAnsi="Times New Roman" w:cs="Times New Roman"/>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D93402"/>
    <w:rPr>
      <w:b/>
      <w:bCs/>
    </w:rPr>
  </w:style>
  <w:style w:type="character" w:customStyle="1" w:styleId="AssuntodecomentrioCarter">
    <w:name w:val="Assunto de comentário Caráter"/>
    <w:basedOn w:val="TextodecomentrioCarter"/>
    <w:link w:val="Assuntodecomentrio"/>
    <w:uiPriority w:val="99"/>
    <w:semiHidden/>
    <w:rsid w:val="00D93402"/>
    <w:rPr>
      <w:rFonts w:ascii="Times New Roman" w:hAnsi="Times New Roman" w:cs="Times New Roman"/>
      <w:b/>
      <w:bCs/>
      <w:sz w:val="20"/>
      <w:szCs w:val="20"/>
      <w:lang w:val="en-GB"/>
    </w:rPr>
  </w:style>
  <w:style w:type="character" w:styleId="Hiperligao">
    <w:name w:val="Hyperlink"/>
    <w:basedOn w:val="Tipodeletrapredefinidodopargrafo"/>
    <w:uiPriority w:val="99"/>
    <w:unhideWhenUsed/>
    <w:rsid w:val="00D93402"/>
    <w:rPr>
      <w:color w:val="0000FF" w:themeColor="hyperlink"/>
      <w:u w:val="single"/>
    </w:rPr>
  </w:style>
  <w:style w:type="paragraph" w:styleId="Cabealho">
    <w:name w:val="header"/>
    <w:basedOn w:val="Normal"/>
    <w:link w:val="CabealhoCarter"/>
    <w:uiPriority w:val="99"/>
    <w:semiHidden/>
    <w:unhideWhenUsed/>
    <w:pPr>
      <w:tabs>
        <w:tab w:val="center" w:pos="4535"/>
        <w:tab w:val="right" w:pos="9071"/>
      </w:tabs>
      <w:spacing w:before="0"/>
    </w:pPr>
  </w:style>
  <w:style w:type="character" w:customStyle="1" w:styleId="CabealhoCarter">
    <w:name w:val="Cabeçalho Caráter"/>
    <w:basedOn w:val="Tipodeletrapredefinidodopargrafo"/>
    <w:link w:val="Cabealho"/>
    <w:uiPriority w:val="99"/>
    <w:semiHidden/>
    <w:rPr>
      <w:rFonts w:ascii="Times New Roman" w:hAnsi="Times New Roman" w:cs="Times New Roman"/>
      <w:sz w:val="24"/>
      <w:shd w:val="clear" w:color="auto" w:fill="auto"/>
      <w:lang w:val="en-GB"/>
    </w:rPr>
  </w:style>
  <w:style w:type="paragraph" w:styleId="Rodap">
    <w:name w:val="footer"/>
    <w:basedOn w:val="Normal"/>
    <w:link w:val="RodapCarter"/>
    <w:uiPriority w:val="99"/>
    <w:semiHidden/>
    <w:unhideWhenUsed/>
    <w:pPr>
      <w:tabs>
        <w:tab w:val="center" w:pos="4535"/>
        <w:tab w:val="right" w:pos="9071"/>
        <w:tab w:val="right" w:pos="9921"/>
      </w:tabs>
      <w:spacing w:before="360" w:after="0"/>
      <w:ind w:left="-850" w:right="-850"/>
      <w:jc w:val="left"/>
    </w:pPr>
  </w:style>
  <w:style w:type="character" w:customStyle="1" w:styleId="RodapCarter">
    <w:name w:val="Rodapé Caráter"/>
    <w:basedOn w:val="Tipodeletrapredefinidodopargrafo"/>
    <w:link w:val="Rodap"/>
    <w:uiPriority w:val="99"/>
    <w:semiHidden/>
    <w:rPr>
      <w:rFonts w:ascii="Times New Roman" w:hAnsi="Times New Roman" w:cs="Times New Roman"/>
      <w:sz w:val="24"/>
      <w:shd w:val="clear" w:color="auto" w:fill="auto"/>
      <w:lang w:val="en-GB"/>
    </w:rPr>
  </w:style>
  <w:style w:type="paragraph" w:styleId="Textodenotaderodap">
    <w:name w:val="footnote text"/>
    <w:basedOn w:val="Normal"/>
    <w:link w:val="TextodenotaderodapCarter"/>
    <w:uiPriority w:val="99"/>
    <w:semiHidden/>
    <w:unhideWhenUsed/>
    <w:pPr>
      <w:spacing w:before="0" w:after="0"/>
      <w:ind w:left="720" w:hanging="720"/>
    </w:pPr>
    <w:rPr>
      <w:sz w:val="20"/>
      <w:szCs w:val="20"/>
    </w:rPr>
  </w:style>
  <w:style w:type="character" w:customStyle="1" w:styleId="TextodenotaderodapCarter">
    <w:name w:val="Texto de nota de rodapé Caráter"/>
    <w:basedOn w:val="Tipodeletrapredefinidodopargrafo"/>
    <w:link w:val="Textodenotaderodap"/>
    <w:uiPriority w:val="99"/>
    <w:semiHidden/>
    <w:rPr>
      <w:rFonts w:ascii="Times New Roman" w:hAnsi="Times New Roman" w:cs="Times New Roman"/>
      <w:sz w:val="20"/>
      <w:szCs w:val="20"/>
      <w:shd w:val="clear" w:color="auto" w:fill="auto"/>
      <w:lang w:val="en-GB"/>
    </w:rPr>
  </w:style>
  <w:style w:type="character" w:customStyle="1" w:styleId="Ttulo1Carter">
    <w:name w:val="Título 1 Caráter"/>
    <w:basedOn w:val="Tipodeletrapredefinidodopargrafo"/>
    <w:link w:val="Ttulo1"/>
    <w:uiPriority w:val="9"/>
    <w:rPr>
      <w:rFonts w:ascii="Times New Roman" w:eastAsiaTheme="majorEastAsia" w:hAnsi="Times New Roman" w:cs="Times New Roman"/>
      <w:b/>
      <w:bCs/>
      <w:smallCaps/>
      <w:sz w:val="24"/>
      <w:szCs w:val="28"/>
      <w:shd w:val="clear" w:color="auto" w:fill="auto"/>
      <w:lang w:val="en-GB"/>
    </w:rPr>
  </w:style>
  <w:style w:type="character" w:customStyle="1" w:styleId="Ttulo2Carter">
    <w:name w:val="Título 2 Caráter"/>
    <w:basedOn w:val="Tipodeletrapredefinidodopargrafo"/>
    <w:link w:val="Ttulo2"/>
    <w:uiPriority w:val="9"/>
    <w:semiHidden/>
    <w:rPr>
      <w:rFonts w:ascii="Times New Roman" w:eastAsiaTheme="majorEastAsia" w:hAnsi="Times New Roman" w:cs="Times New Roman"/>
      <w:b/>
      <w:bCs/>
      <w:sz w:val="24"/>
      <w:szCs w:val="26"/>
      <w:shd w:val="clear" w:color="auto" w:fill="auto"/>
      <w:lang w:val="en-GB"/>
    </w:rPr>
  </w:style>
  <w:style w:type="character" w:customStyle="1" w:styleId="Ttulo3Carter">
    <w:name w:val="Título 3 Caráter"/>
    <w:basedOn w:val="Tipodeletrapredefinidodopargrafo"/>
    <w:link w:val="Ttulo3"/>
    <w:uiPriority w:val="9"/>
    <w:semiHidden/>
    <w:rPr>
      <w:rFonts w:ascii="Times New Roman" w:eastAsiaTheme="majorEastAsia" w:hAnsi="Times New Roman" w:cs="Times New Roman"/>
      <w:bCs/>
      <w:i/>
      <w:sz w:val="24"/>
      <w:shd w:val="clear" w:color="auto" w:fill="auto"/>
      <w:lang w:val="en-GB"/>
    </w:rPr>
  </w:style>
  <w:style w:type="character" w:customStyle="1" w:styleId="Ttulo4Carter">
    <w:name w:val="Título 4 Caráter"/>
    <w:basedOn w:val="Tipodeletrapredefinidodopargrafo"/>
    <w:link w:val="Ttulo4"/>
    <w:uiPriority w:val="9"/>
    <w:semiHidden/>
    <w:rPr>
      <w:rFonts w:ascii="Times New Roman" w:eastAsiaTheme="majorEastAsia" w:hAnsi="Times New Roman" w:cs="Times New Roman"/>
      <w:bCs/>
      <w:iCs/>
      <w:sz w:val="24"/>
      <w:shd w:val="clear" w:color="auto" w:fill="auto"/>
      <w:lang w:val="en-GB"/>
    </w:rPr>
  </w:style>
  <w:style w:type="character" w:customStyle="1" w:styleId="Ttulo5Carter">
    <w:name w:val="Título 5 Caráter"/>
    <w:basedOn w:val="Tipodeletrapredefinidodopargrafo"/>
    <w:link w:val="Ttulo5"/>
    <w:uiPriority w:val="9"/>
    <w:semiHidden/>
    <w:rPr>
      <w:rFonts w:ascii="Times New Roman" w:eastAsiaTheme="majorEastAsia" w:hAnsi="Times New Roman" w:cs="Times New Roman"/>
      <w:sz w:val="24"/>
      <w:shd w:val="clear" w:color="auto" w:fill="auto"/>
      <w:lang w:val="en-GB"/>
    </w:rPr>
  </w:style>
  <w:style w:type="character" w:customStyle="1" w:styleId="Ttulo6Carter">
    <w:name w:val="Título 6 Caráter"/>
    <w:basedOn w:val="Tipodeletrapredefinidodopargrafo"/>
    <w:link w:val="Ttulo6"/>
    <w:uiPriority w:val="9"/>
    <w:semiHidden/>
    <w:rPr>
      <w:rFonts w:ascii="Times New Roman" w:eastAsiaTheme="majorEastAsia" w:hAnsi="Times New Roman" w:cs="Times New Roman"/>
      <w:iCs/>
      <w:sz w:val="24"/>
      <w:shd w:val="clear" w:color="auto" w:fill="auto"/>
      <w:lang w:val="en-GB"/>
    </w:rPr>
  </w:style>
  <w:style w:type="character" w:customStyle="1" w:styleId="Ttulo7Carter">
    <w:name w:val="Título 7 Caráter"/>
    <w:basedOn w:val="Tipodeletrapredefinidodopargrafo"/>
    <w:link w:val="Ttulo7"/>
    <w:uiPriority w:val="9"/>
    <w:semiHidden/>
    <w:rPr>
      <w:rFonts w:ascii="Times New Roman" w:eastAsiaTheme="majorEastAsia" w:hAnsi="Times New Roman" w:cs="Times New Roman"/>
      <w:iCs/>
      <w:sz w:val="24"/>
      <w:shd w:val="clear" w:color="auto" w:fill="auto"/>
      <w:lang w:val="en-GB"/>
    </w:rPr>
  </w:style>
  <w:style w:type="paragraph" w:styleId="Cabealhodondice">
    <w:name w:val="TOC Heading"/>
    <w:basedOn w:val="Normal"/>
    <w:next w:val="Normal"/>
    <w:uiPriority w:val="39"/>
    <w:semiHidden/>
    <w:unhideWhenUsed/>
    <w:qFormat/>
    <w:pPr>
      <w:spacing w:after="240"/>
      <w:jc w:val="center"/>
    </w:pPr>
    <w:rPr>
      <w:b/>
      <w:sz w:val="28"/>
    </w:rPr>
  </w:style>
  <w:style w:type="paragraph" w:styleId="ndice1">
    <w:name w:val="toc 1"/>
    <w:basedOn w:val="Normal"/>
    <w:next w:val="Normal"/>
    <w:uiPriority w:val="39"/>
    <w:semiHidden/>
    <w:unhideWhenUsed/>
    <w:pPr>
      <w:tabs>
        <w:tab w:val="right" w:leader="dot" w:pos="9071"/>
      </w:tabs>
      <w:spacing w:before="60"/>
      <w:ind w:left="850" w:hanging="850"/>
      <w:jc w:val="left"/>
    </w:pPr>
  </w:style>
  <w:style w:type="paragraph" w:styleId="ndice2">
    <w:name w:val="toc 2"/>
    <w:basedOn w:val="Normal"/>
    <w:next w:val="Normal"/>
    <w:uiPriority w:val="39"/>
    <w:semiHidden/>
    <w:unhideWhenUsed/>
    <w:pPr>
      <w:tabs>
        <w:tab w:val="right" w:leader="dot" w:pos="9071"/>
      </w:tabs>
      <w:spacing w:before="60"/>
      <w:ind w:left="850" w:hanging="850"/>
      <w:jc w:val="left"/>
    </w:pPr>
  </w:style>
  <w:style w:type="paragraph" w:styleId="ndice3">
    <w:name w:val="toc 3"/>
    <w:basedOn w:val="Normal"/>
    <w:next w:val="Normal"/>
    <w:uiPriority w:val="39"/>
    <w:semiHidden/>
    <w:unhideWhenUsed/>
    <w:pPr>
      <w:tabs>
        <w:tab w:val="right" w:leader="dot" w:pos="9071"/>
      </w:tabs>
      <w:spacing w:before="60"/>
      <w:ind w:left="850" w:hanging="850"/>
      <w:jc w:val="left"/>
    </w:pPr>
  </w:style>
  <w:style w:type="paragraph" w:styleId="ndice4">
    <w:name w:val="toc 4"/>
    <w:basedOn w:val="Normal"/>
    <w:next w:val="Normal"/>
    <w:uiPriority w:val="39"/>
    <w:semiHidden/>
    <w:unhideWhenUsed/>
    <w:pPr>
      <w:tabs>
        <w:tab w:val="right" w:leader="dot" w:pos="9071"/>
      </w:tabs>
      <w:spacing w:before="60"/>
      <w:ind w:left="850" w:hanging="850"/>
      <w:jc w:val="left"/>
    </w:pPr>
  </w:style>
  <w:style w:type="paragraph" w:styleId="ndice5">
    <w:name w:val="toc 5"/>
    <w:basedOn w:val="Normal"/>
    <w:next w:val="Normal"/>
    <w:uiPriority w:val="39"/>
    <w:semiHidden/>
    <w:unhideWhenUsed/>
    <w:pPr>
      <w:tabs>
        <w:tab w:val="right" w:leader="dot" w:pos="9071"/>
      </w:tabs>
      <w:spacing w:before="300"/>
      <w:jc w:val="left"/>
    </w:pPr>
  </w:style>
  <w:style w:type="paragraph" w:styleId="ndice6">
    <w:name w:val="toc 6"/>
    <w:basedOn w:val="Normal"/>
    <w:next w:val="Normal"/>
    <w:uiPriority w:val="39"/>
    <w:semiHidden/>
    <w:unhideWhenUsed/>
    <w:pPr>
      <w:tabs>
        <w:tab w:val="right" w:leader="dot" w:pos="9071"/>
      </w:tabs>
      <w:spacing w:before="240"/>
      <w:jc w:val="left"/>
    </w:pPr>
  </w:style>
  <w:style w:type="paragraph" w:styleId="ndice7">
    <w:name w:val="toc 7"/>
    <w:basedOn w:val="Normal"/>
    <w:next w:val="Normal"/>
    <w:uiPriority w:val="39"/>
    <w:semiHidden/>
    <w:unhideWhenUsed/>
    <w:pPr>
      <w:tabs>
        <w:tab w:val="right" w:leader="dot" w:pos="9071"/>
      </w:tabs>
      <w:spacing w:before="180"/>
      <w:jc w:val="left"/>
    </w:pPr>
  </w:style>
  <w:style w:type="paragraph" w:styleId="ndice8">
    <w:name w:val="toc 8"/>
    <w:basedOn w:val="Normal"/>
    <w:next w:val="Normal"/>
    <w:uiPriority w:val="39"/>
    <w:semiHidden/>
    <w:unhideWhenUsed/>
    <w:pPr>
      <w:tabs>
        <w:tab w:val="right" w:leader="dot" w:pos="9071"/>
      </w:tabs>
      <w:jc w:val="left"/>
    </w:pPr>
  </w:style>
  <w:style w:type="paragraph" w:styleId="ndic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Refdenotaderodap">
    <w:name w:val="footnote reference"/>
    <w:basedOn w:val="Tipodeletrapredefinidodopargrafo"/>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Ttulo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Tipodeletrapredefinidodopargrafo"/>
    <w:rPr>
      <w:color w:val="0000FF"/>
      <w:shd w:val="clear" w:color="auto" w:fill="auto"/>
    </w:rPr>
  </w:style>
  <w:style w:type="character" w:customStyle="1" w:styleId="Marker1">
    <w:name w:val="Marker1"/>
    <w:basedOn w:val="Tipodeletrapredefinidodopargrafo"/>
    <w:rPr>
      <w:color w:val="008000"/>
      <w:shd w:val="clear" w:color="auto" w:fill="auto"/>
    </w:rPr>
  </w:style>
  <w:style w:type="character" w:customStyle="1" w:styleId="Marker2">
    <w:name w:val="Marker2"/>
    <w:basedOn w:val="Tipodeletrapredefinidodopargrafo"/>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Tipodeletrapredefinidodopargrafo"/>
    <w:rPr>
      <w:b/>
      <w:u w:val="single"/>
      <w:shd w:val="clear" w:color="auto" w:fill="auto"/>
    </w:rPr>
  </w:style>
  <w:style w:type="character" w:customStyle="1" w:styleId="Deleted">
    <w:name w:val="Deleted"/>
    <w:basedOn w:val="Tipodeletrapredefinidodopargrafo"/>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DD232-7AC2-4155-BFF9-98E660AC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21</TotalTime>
  <Pages>4</Pages>
  <Words>685</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LENGLAIN Benedicte (GROW)</dc:creator>
  <cp:keywords/>
  <dc:description/>
  <cp:lastModifiedBy>Ana Catarina Gomes</cp:lastModifiedBy>
  <cp:revision>15</cp:revision>
  <dcterms:created xsi:type="dcterms:W3CDTF">2022-11-15T10:18:00Z</dcterms:created>
  <dcterms:modified xsi:type="dcterms:W3CDTF">2023-04-04T14:19:00Z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MSIP_Label_6bd9ddd1-4d20-43f6-abfa-fc3c07406f94_Enabled">
    <vt:lpwstr>true</vt:lpwstr>
  </property>
  <property fmtid="{D5CDD505-2E9C-101B-9397-08002B2CF9AE}" pid="11" name="MSIP_Label_6bd9ddd1-4d20-43f6-abfa-fc3c07406f94_SetDate">
    <vt:lpwstr>2022-11-15T10:08:10Z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9b103222-1775-4f77-94de-d4f573759d01</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