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7464" w14:textId="4774A1CD" w:rsidR="00827758" w:rsidRPr="004C67A5" w:rsidRDefault="004C67A5" w:rsidP="004C67A5">
      <w:pPr>
        <w:jc w:val="center"/>
        <w:rPr>
          <w:b/>
        </w:rPr>
      </w:pPr>
      <w:r w:rsidRPr="004C67A5">
        <w:rPr>
          <w:b/>
        </w:rPr>
        <w:t>CONSORTIUM REPORTING TO COSMETICS EU</w:t>
      </w:r>
    </w:p>
    <w:p w14:paraId="6ACD6E58" w14:textId="5D5A32F2" w:rsidR="004C67A5" w:rsidRDefault="004C67A5" w:rsidP="004C67A5">
      <w:pPr>
        <w:jc w:val="center"/>
        <w:rPr>
          <w:i/>
        </w:rPr>
      </w:pPr>
      <w:r>
        <w:rPr>
          <w:i/>
        </w:rPr>
        <w:t>CONSORTIUM</w:t>
      </w:r>
      <w:r w:rsidR="00F57F8B">
        <w:rPr>
          <w:i/>
        </w:rPr>
        <w:t xml:space="preserve"> OCTOCRYLENE</w:t>
      </w:r>
    </w:p>
    <w:p w14:paraId="443C566D" w14:textId="46E29781" w:rsidR="004C67A5" w:rsidRPr="008A1360" w:rsidRDefault="008A1360" w:rsidP="004C67A5">
      <w:pPr>
        <w:jc w:val="center"/>
        <w:rPr>
          <w:lang w:val="en-BE"/>
        </w:rPr>
      </w:pPr>
      <w:r>
        <w:rPr>
          <w:i/>
          <w:lang w:val="en-BE"/>
        </w:rPr>
        <w:t>February</w:t>
      </w:r>
      <w:r w:rsidR="00347AB4">
        <w:rPr>
          <w:i/>
        </w:rPr>
        <w:t xml:space="preserve"> </w:t>
      </w:r>
      <w:r w:rsidR="00F57F8B">
        <w:rPr>
          <w:i/>
        </w:rPr>
        <w:t>202</w:t>
      </w:r>
      <w:r>
        <w:rPr>
          <w:i/>
          <w:lang w:val="en-BE"/>
        </w:rPr>
        <w:t>2</w:t>
      </w:r>
    </w:p>
    <w:p w14:paraId="59CC742E" w14:textId="77777777" w:rsidR="004C67A5" w:rsidRPr="00C36A55" w:rsidRDefault="004C67A5" w:rsidP="00C36A55">
      <w:pPr>
        <w:jc w:val="both"/>
      </w:pPr>
    </w:p>
    <w:p w14:paraId="659FB5DD" w14:textId="2DAA3636" w:rsidR="0076100E" w:rsidRPr="0076100E" w:rsidRDefault="0076100E" w:rsidP="00C36A55">
      <w:pPr>
        <w:jc w:val="both"/>
        <w:rPr>
          <w:b/>
        </w:rPr>
      </w:pPr>
      <w:r w:rsidRPr="0076100E">
        <w:rPr>
          <w:b/>
        </w:rPr>
        <w:t>BA</w:t>
      </w:r>
      <w:r w:rsidR="00756813">
        <w:rPr>
          <w:b/>
        </w:rPr>
        <w:t>CKGROUND</w:t>
      </w:r>
      <w:r w:rsidR="008623C4">
        <w:rPr>
          <w:b/>
        </w:rPr>
        <w:t xml:space="preserve"> – TIMELINE CONSTRAINTS</w:t>
      </w:r>
    </w:p>
    <w:p w14:paraId="4C082A3F" w14:textId="1AB693A6" w:rsidR="00F57F8B" w:rsidRPr="00F57F8B" w:rsidRDefault="00127C33" w:rsidP="00724FC7">
      <w:pPr>
        <w:pStyle w:val="ListParagraph"/>
        <w:numPr>
          <w:ilvl w:val="0"/>
          <w:numId w:val="5"/>
        </w:numPr>
        <w:jc w:val="both"/>
        <w:rPr>
          <w:lang w:val="en-US"/>
        </w:rPr>
      </w:pPr>
      <w:r>
        <w:rPr>
          <w:lang w:val="en-US"/>
        </w:rPr>
        <w:t>7</w:t>
      </w:r>
      <w:r w:rsidR="00F57F8B" w:rsidRPr="00F57F8B">
        <w:rPr>
          <w:lang w:val="en-US"/>
        </w:rPr>
        <w:t xml:space="preserve"> </w:t>
      </w:r>
      <w:r w:rsidR="00F57F8B" w:rsidRPr="00F57F8B">
        <w:rPr>
          <w:bCs/>
          <w:lang w:val="en-US"/>
        </w:rPr>
        <w:t xml:space="preserve">CONSORTIUM MEMBERS: CE member companies </w:t>
      </w:r>
    </w:p>
    <w:p w14:paraId="07C9E2A8" w14:textId="577576F2" w:rsidR="00F57F8B" w:rsidRPr="00F57F8B" w:rsidRDefault="004C2021" w:rsidP="00896B3B">
      <w:pPr>
        <w:pStyle w:val="ListParagraph"/>
        <w:numPr>
          <w:ilvl w:val="0"/>
          <w:numId w:val="5"/>
        </w:numPr>
        <w:jc w:val="both"/>
        <w:rPr>
          <w:lang w:val="en-US"/>
        </w:rPr>
      </w:pPr>
      <w:r>
        <w:rPr>
          <w:bCs/>
          <w:lang w:val="en-US"/>
        </w:rPr>
        <w:t>Octocrylene has been included i</w:t>
      </w:r>
      <w:r w:rsidR="00F57F8B">
        <w:rPr>
          <w:bCs/>
          <w:lang w:val="en-US"/>
        </w:rPr>
        <w:t xml:space="preserve">n the Priority A list of </w:t>
      </w:r>
      <w:r w:rsidR="00F57F8B" w:rsidRPr="00F57F8B">
        <w:rPr>
          <w:bCs/>
          <w:lang w:val="en-US"/>
        </w:rPr>
        <w:t>substances with potential ED</w:t>
      </w:r>
      <w:r w:rsidR="00F57F8B">
        <w:rPr>
          <w:bCs/>
          <w:lang w:val="en-US"/>
        </w:rPr>
        <w:t xml:space="preserve"> propertie</w:t>
      </w:r>
      <w:r w:rsidR="00F57F8B" w:rsidRPr="00F57F8B">
        <w:rPr>
          <w:bCs/>
          <w:lang w:val="en-US"/>
        </w:rPr>
        <w:t>s used in cosmetic product</w:t>
      </w:r>
      <w:r w:rsidR="00F57F8B">
        <w:rPr>
          <w:bCs/>
          <w:lang w:val="en-US"/>
        </w:rPr>
        <w:t xml:space="preserve">s (May 2019) with a </w:t>
      </w:r>
      <w:r w:rsidR="00896B3B">
        <w:rPr>
          <w:bCs/>
          <w:lang w:val="en-US"/>
        </w:rPr>
        <w:t xml:space="preserve">public </w:t>
      </w:r>
      <w:r w:rsidR="00F57F8B">
        <w:rPr>
          <w:bCs/>
          <w:lang w:val="en-US"/>
        </w:rPr>
        <w:t>call for data by October</w:t>
      </w:r>
      <w:r w:rsidR="00896B3B">
        <w:rPr>
          <w:bCs/>
          <w:lang w:val="en-US"/>
        </w:rPr>
        <w:t xml:space="preserve"> 15,</w:t>
      </w:r>
      <w:r w:rsidR="00F57F8B">
        <w:rPr>
          <w:bCs/>
          <w:lang w:val="en-US"/>
        </w:rPr>
        <w:t xml:space="preserve"> 2019. </w:t>
      </w:r>
      <w:r w:rsidR="00896B3B">
        <w:rPr>
          <w:bCs/>
          <w:lang w:val="en-US"/>
        </w:rPr>
        <w:t xml:space="preserve">By this deadline, CE submitted to the COM/SCCS an abbreviated safety dossier focused on the potential endocrine activity of octocrylene. </w:t>
      </w:r>
      <w:r w:rsidR="00896B3B" w:rsidRPr="00896B3B">
        <w:rPr>
          <w:bCs/>
          <w:lang w:val="en-US"/>
        </w:rPr>
        <w:t xml:space="preserve">The </w:t>
      </w:r>
      <w:r w:rsidR="00896B3B">
        <w:rPr>
          <w:bCs/>
          <w:lang w:val="en-US"/>
        </w:rPr>
        <w:t xml:space="preserve">COM </w:t>
      </w:r>
      <w:r w:rsidR="00896B3B" w:rsidRPr="00896B3B">
        <w:rPr>
          <w:bCs/>
          <w:lang w:val="en-US"/>
        </w:rPr>
        <w:t xml:space="preserve">mandate </w:t>
      </w:r>
      <w:r w:rsidR="00896B3B">
        <w:rPr>
          <w:bCs/>
          <w:lang w:val="en-US"/>
        </w:rPr>
        <w:t xml:space="preserve">for an evaluation by the SCCS </w:t>
      </w:r>
      <w:r w:rsidR="00896B3B" w:rsidRPr="00896B3B">
        <w:rPr>
          <w:bCs/>
          <w:lang w:val="en-US"/>
        </w:rPr>
        <w:t>was pub</w:t>
      </w:r>
      <w:r w:rsidR="00896B3B">
        <w:rPr>
          <w:bCs/>
          <w:lang w:val="en-US"/>
        </w:rPr>
        <w:t>lished o</w:t>
      </w:r>
      <w:r w:rsidR="00896B3B" w:rsidRPr="00896B3B">
        <w:rPr>
          <w:bCs/>
          <w:lang w:val="en-US"/>
        </w:rPr>
        <w:t xml:space="preserve">n the SCCS website on </w:t>
      </w:r>
      <w:r w:rsidR="00896B3B">
        <w:rPr>
          <w:bCs/>
          <w:lang w:val="en-US"/>
        </w:rPr>
        <w:t>February</w:t>
      </w:r>
      <w:r w:rsidR="00896B3B" w:rsidRPr="00896B3B">
        <w:rPr>
          <w:bCs/>
          <w:lang w:val="en-US"/>
        </w:rPr>
        <w:t xml:space="preserve"> 06</w:t>
      </w:r>
      <w:r w:rsidR="00896B3B">
        <w:rPr>
          <w:bCs/>
          <w:lang w:val="en-US"/>
        </w:rPr>
        <w:t>, 2020</w:t>
      </w:r>
      <w:r w:rsidR="00146EF4">
        <w:rPr>
          <w:bCs/>
          <w:lang w:val="en-US"/>
        </w:rPr>
        <w:t>,</w:t>
      </w:r>
      <w:r w:rsidR="00896B3B" w:rsidRPr="00896B3B">
        <w:rPr>
          <w:bCs/>
          <w:lang w:val="en-US"/>
        </w:rPr>
        <w:t xml:space="preserve"> with a deadline of 9 months for the SCCS</w:t>
      </w:r>
      <w:r w:rsidR="00896B3B">
        <w:rPr>
          <w:bCs/>
          <w:lang w:val="en-US"/>
        </w:rPr>
        <w:t>. Therefore, this consortium was set up to prepare a full safety dossier according to the SCCS Notes of Guidance.</w:t>
      </w:r>
    </w:p>
    <w:p w14:paraId="65871F26" w14:textId="77777777" w:rsidR="004C67A5" w:rsidRPr="00F57F8B" w:rsidRDefault="004C67A5" w:rsidP="00C36A55">
      <w:pPr>
        <w:jc w:val="both"/>
        <w:rPr>
          <w:b/>
          <w:lang w:val="en-US"/>
        </w:rPr>
      </w:pPr>
    </w:p>
    <w:p w14:paraId="63282FE3" w14:textId="563A4D21" w:rsidR="00D860C8" w:rsidRDefault="004C67A5" w:rsidP="00C36A55">
      <w:pPr>
        <w:jc w:val="both"/>
        <w:rPr>
          <w:b/>
        </w:rPr>
      </w:pPr>
      <w:r>
        <w:rPr>
          <w:b/>
        </w:rPr>
        <w:t>SCOPE OF DEFENCE ACTIVITIES</w:t>
      </w:r>
    </w:p>
    <w:p w14:paraId="1E6647DF" w14:textId="5039EEBB" w:rsidR="00896B3B" w:rsidRPr="00896B3B" w:rsidRDefault="00896B3B" w:rsidP="00896B3B">
      <w:pPr>
        <w:jc w:val="both"/>
        <w:rPr>
          <w:lang w:val="en-US"/>
        </w:rPr>
      </w:pPr>
      <w:r>
        <w:rPr>
          <w:bCs/>
          <w:lang w:val="en-US"/>
        </w:rPr>
        <w:t xml:space="preserve">Octocrylene </w:t>
      </w:r>
      <w:r w:rsidR="00447301" w:rsidRPr="00447301">
        <w:rPr>
          <w:bCs/>
          <w:lang w:val="en-US"/>
        </w:rPr>
        <w:t xml:space="preserve">(CAS No. 6197-30-4 / EC No. 228-250-8) </w:t>
      </w:r>
      <w:r w:rsidRPr="00896B3B">
        <w:rPr>
          <w:bCs/>
          <w:lang w:val="en-US"/>
        </w:rPr>
        <w:t xml:space="preserve">is </w:t>
      </w:r>
      <w:r>
        <w:rPr>
          <w:bCs/>
          <w:lang w:val="en-US"/>
        </w:rPr>
        <w:t xml:space="preserve">used as </w:t>
      </w:r>
      <w:r w:rsidRPr="00896B3B">
        <w:rPr>
          <w:bCs/>
          <w:lang w:val="en-US"/>
        </w:rPr>
        <w:t>a UV filter ingredient</w:t>
      </w:r>
      <w:r>
        <w:rPr>
          <w:bCs/>
          <w:lang w:val="en-US"/>
        </w:rPr>
        <w:t xml:space="preserve"> </w:t>
      </w:r>
      <w:r w:rsidR="00447301" w:rsidRPr="00447301">
        <w:rPr>
          <w:bCs/>
          <w:lang w:val="en-US"/>
        </w:rPr>
        <w:t>in various cosmetic products</w:t>
      </w:r>
      <w:r w:rsidR="00F75217">
        <w:rPr>
          <w:bCs/>
          <w:lang w:val="en-US"/>
        </w:rPr>
        <w:t>.</w:t>
      </w:r>
      <w:r w:rsidR="002F35B7">
        <w:rPr>
          <w:bCs/>
          <w:lang w:val="en-US"/>
        </w:rPr>
        <w:t xml:space="preserve"> It </w:t>
      </w:r>
      <w:r w:rsidR="002F35B7" w:rsidRPr="002F35B7">
        <w:rPr>
          <w:bCs/>
          <w:lang w:val="en-US"/>
        </w:rPr>
        <w:t>is listed in Annex VI of Regulation (EC) No 1223/2009 (Entry N°10)</w:t>
      </w:r>
      <w:r w:rsidR="00447301" w:rsidRPr="00447301">
        <w:t xml:space="preserve"> </w:t>
      </w:r>
      <w:r w:rsidR="00447301" w:rsidRPr="00447301">
        <w:rPr>
          <w:bCs/>
          <w:lang w:val="en-US"/>
        </w:rPr>
        <w:t>and approved up to a maximum concentration of 10% (expressed as acid) in cosmetic products as a UV filter or a formula protectant. It is also approved or accepted as a UV filter across the globe.</w:t>
      </w:r>
    </w:p>
    <w:p w14:paraId="54E00A28" w14:textId="59886881" w:rsidR="00896B3B" w:rsidRPr="00896B3B" w:rsidRDefault="00896B3B" w:rsidP="00896B3B">
      <w:pPr>
        <w:jc w:val="both"/>
        <w:rPr>
          <w:lang w:val="en-US"/>
        </w:rPr>
      </w:pPr>
      <w:r w:rsidRPr="00896B3B">
        <w:rPr>
          <w:bCs/>
          <w:lang w:val="en-US"/>
        </w:rPr>
        <w:t xml:space="preserve">The current uses </w:t>
      </w:r>
      <w:r w:rsidR="002F35B7">
        <w:rPr>
          <w:bCs/>
          <w:lang w:val="en-US"/>
        </w:rPr>
        <w:t xml:space="preserve">have been compiled </w:t>
      </w:r>
      <w:r w:rsidR="002F35B7" w:rsidRPr="002F35B7">
        <w:rPr>
          <w:bCs/>
          <w:lang w:val="en-US"/>
        </w:rPr>
        <w:t xml:space="preserve">by Cosmetics Europe </w:t>
      </w:r>
      <w:r w:rsidR="002F35B7">
        <w:rPr>
          <w:bCs/>
          <w:lang w:val="en-US"/>
        </w:rPr>
        <w:t>in a Consortium members use survey</w:t>
      </w:r>
      <w:r w:rsidRPr="00896B3B">
        <w:rPr>
          <w:bCs/>
          <w:lang w:val="en-US"/>
        </w:rPr>
        <w:t>, including uses that could lead to exposure of the consumer by inhalation</w:t>
      </w:r>
      <w:r w:rsidR="00916761">
        <w:rPr>
          <w:bCs/>
          <w:lang w:val="en-US"/>
        </w:rPr>
        <w:t>.</w:t>
      </w:r>
      <w:r w:rsidRPr="00896B3B">
        <w:rPr>
          <w:bCs/>
          <w:lang w:val="en-US"/>
        </w:rPr>
        <w:t xml:space="preserve"> </w:t>
      </w:r>
    </w:p>
    <w:p w14:paraId="3E4A26B2" w14:textId="110B7369" w:rsidR="002F35B7" w:rsidRDefault="002F35B7" w:rsidP="00896B3B">
      <w:pPr>
        <w:jc w:val="both"/>
        <w:rPr>
          <w:bCs/>
          <w:lang w:val="en-US"/>
        </w:rPr>
      </w:pPr>
      <w:r>
        <w:rPr>
          <w:bCs/>
          <w:lang w:val="en-US"/>
        </w:rPr>
        <w:t>According to the use survey, t</w:t>
      </w:r>
      <w:r w:rsidR="00896B3B" w:rsidRPr="00896B3B">
        <w:rPr>
          <w:bCs/>
          <w:lang w:val="en-US"/>
        </w:rPr>
        <w:t xml:space="preserve">he maximum concentration </w:t>
      </w:r>
      <w:r>
        <w:rPr>
          <w:bCs/>
          <w:lang w:val="en-US"/>
        </w:rPr>
        <w:t>to</w:t>
      </w:r>
      <w:r w:rsidR="00896B3B" w:rsidRPr="00896B3B">
        <w:rPr>
          <w:bCs/>
          <w:lang w:val="en-US"/>
        </w:rPr>
        <w:t xml:space="preserve"> be defended is </w:t>
      </w:r>
      <w:r>
        <w:rPr>
          <w:bCs/>
          <w:lang w:val="en-US"/>
        </w:rPr>
        <w:t>10%.</w:t>
      </w:r>
    </w:p>
    <w:p w14:paraId="7036FCD7" w14:textId="77777777" w:rsidR="00756813" w:rsidRPr="00896B3B" w:rsidRDefault="00756813" w:rsidP="00C36A55">
      <w:pPr>
        <w:jc w:val="both"/>
        <w:rPr>
          <w:b/>
          <w:lang w:val="en-US"/>
        </w:rPr>
      </w:pPr>
    </w:p>
    <w:p w14:paraId="396614D3" w14:textId="71BA18BE" w:rsidR="0076100E" w:rsidRPr="0076100E" w:rsidRDefault="00D860C8" w:rsidP="00C36A55">
      <w:pPr>
        <w:jc w:val="both"/>
        <w:rPr>
          <w:b/>
        </w:rPr>
      </w:pPr>
      <w:r>
        <w:rPr>
          <w:b/>
        </w:rPr>
        <w:t xml:space="preserve">CONSORTIUM </w:t>
      </w:r>
      <w:r w:rsidR="00756813">
        <w:rPr>
          <w:b/>
        </w:rPr>
        <w:t>APPROACH</w:t>
      </w:r>
    </w:p>
    <w:p w14:paraId="091D095A" w14:textId="12F0D429" w:rsidR="00301C42" w:rsidRDefault="002F35B7" w:rsidP="003750FF">
      <w:pPr>
        <w:jc w:val="both"/>
      </w:pPr>
      <w:r>
        <w:t xml:space="preserve">According to the existing data gap analysis, the </w:t>
      </w:r>
      <w:r w:rsidR="0089672A">
        <w:t>available dermal penetration studies</w:t>
      </w:r>
      <w:r>
        <w:t xml:space="preserve"> d</w:t>
      </w:r>
      <w:r w:rsidR="003750FF">
        <w:t>id</w:t>
      </w:r>
      <w:r>
        <w:t xml:space="preserve"> not meet the SCCS </w:t>
      </w:r>
      <w:proofErr w:type="spellStart"/>
      <w:r>
        <w:t>NoG</w:t>
      </w:r>
      <w:proofErr w:type="spellEnd"/>
      <w:r>
        <w:t xml:space="preserve"> requirements.</w:t>
      </w:r>
      <w:r w:rsidR="0089672A">
        <w:t xml:space="preserve"> </w:t>
      </w:r>
      <w:r>
        <w:t xml:space="preserve">Therefore, the </w:t>
      </w:r>
      <w:r w:rsidR="0089672A">
        <w:t>Consortium members agreed to</w:t>
      </w:r>
      <w:r>
        <w:t xml:space="preserve"> conduct</w:t>
      </w:r>
      <w:r w:rsidR="003750FF">
        <w:t xml:space="preserve"> a new dermal penetration study and the preliminary study results are included in this dossier. </w:t>
      </w:r>
    </w:p>
    <w:p w14:paraId="3C07DB79" w14:textId="1AB979C4" w:rsidR="00B3235B" w:rsidRDefault="00B3235B" w:rsidP="00B3235B">
      <w:pPr>
        <w:jc w:val="both"/>
      </w:pPr>
      <w:r>
        <w:t>A detailed inhalation exposure assessment was included as well as the latest consumer use information to support the safety assessment on Octocrylene.</w:t>
      </w:r>
    </w:p>
    <w:p w14:paraId="66B17E93" w14:textId="0B20709A" w:rsidR="0089672A" w:rsidRDefault="0089672A" w:rsidP="0089672A">
      <w:pPr>
        <w:jc w:val="both"/>
      </w:pPr>
      <w:r>
        <w:t>An external consultant prepare</w:t>
      </w:r>
      <w:r w:rsidR="003750FF">
        <w:t>d</w:t>
      </w:r>
      <w:r>
        <w:t xml:space="preserve"> the Octocrylene</w:t>
      </w:r>
      <w:r w:rsidR="003750FF">
        <w:t xml:space="preserve"> dossier</w:t>
      </w:r>
      <w:r>
        <w:t>.</w:t>
      </w:r>
    </w:p>
    <w:p w14:paraId="768C84AE" w14:textId="5A723660" w:rsidR="00354098" w:rsidRDefault="00354098" w:rsidP="0089672A">
      <w:pPr>
        <w:jc w:val="both"/>
      </w:pPr>
      <w:r w:rsidRPr="00354098">
        <w:t>Consortium Project Management is</w:t>
      </w:r>
      <w:r>
        <w:t xml:space="preserve"> performed by an external consultant</w:t>
      </w:r>
      <w:r w:rsidRPr="00354098">
        <w:t>.</w:t>
      </w:r>
    </w:p>
    <w:p w14:paraId="5CD1D00D" w14:textId="7049CDF9" w:rsidR="0094556B" w:rsidRDefault="0094556B" w:rsidP="0094556B">
      <w:pPr>
        <w:jc w:val="both"/>
      </w:pPr>
      <w:r>
        <w:t xml:space="preserve">Three </w:t>
      </w:r>
      <w:r w:rsidRPr="00ED4265">
        <w:rPr>
          <w:i/>
        </w:rPr>
        <w:t>in vivo</w:t>
      </w:r>
      <w:r>
        <w:t xml:space="preserve"> studies were not used or included in the final safety assessment of Octocrylene since they were conducted post-2013. None of these studies did have an impact on the selection of the toxicological point of departure or the </w:t>
      </w:r>
      <w:proofErr w:type="gramStart"/>
      <w:r>
        <w:t>ultimate conclusion</w:t>
      </w:r>
      <w:proofErr w:type="gramEnd"/>
      <w:r>
        <w:t xml:space="preserve"> presented in the dossier.</w:t>
      </w:r>
    </w:p>
    <w:p w14:paraId="6A1229F8" w14:textId="77777777" w:rsidR="0089672A" w:rsidRDefault="0089672A" w:rsidP="00C36A55">
      <w:pPr>
        <w:jc w:val="both"/>
        <w:rPr>
          <w:b/>
        </w:rPr>
      </w:pPr>
    </w:p>
    <w:p w14:paraId="435F7255" w14:textId="572964F0" w:rsidR="0076100E" w:rsidRDefault="00756813" w:rsidP="00C36A55">
      <w:pPr>
        <w:jc w:val="both"/>
        <w:rPr>
          <w:b/>
        </w:rPr>
      </w:pPr>
      <w:r>
        <w:rPr>
          <w:b/>
        </w:rPr>
        <w:t>STATUS REPORT</w:t>
      </w:r>
      <w:r w:rsidR="008623C4">
        <w:rPr>
          <w:b/>
        </w:rPr>
        <w:t xml:space="preserve"> – EXPECTED TIMELINES</w:t>
      </w:r>
    </w:p>
    <w:p w14:paraId="29F04C6E" w14:textId="1E53A715" w:rsidR="000A27E1" w:rsidRDefault="000A27E1" w:rsidP="000A27E1">
      <w:pPr>
        <w:jc w:val="both"/>
      </w:pPr>
      <w:r>
        <w:t>The safety dossier on Octocrylene was submitted to the COM/SCCS by August 14, 2020.</w:t>
      </w:r>
    </w:p>
    <w:p w14:paraId="0A3DA048" w14:textId="300B2B90" w:rsidR="009543A7" w:rsidRDefault="009543A7" w:rsidP="000A27E1">
      <w:pPr>
        <w:jc w:val="both"/>
      </w:pPr>
      <w:r w:rsidRPr="009543A7">
        <w:t>Based on this late submission, DG GROW extended the SCCS mandate for substance evaluation until January 2021.</w:t>
      </w:r>
    </w:p>
    <w:p w14:paraId="374D7633" w14:textId="3A658757" w:rsidR="000A27E1" w:rsidRDefault="00C947C3" w:rsidP="000A27E1">
      <w:pPr>
        <w:jc w:val="both"/>
      </w:pPr>
      <w:r>
        <w:t>The</w:t>
      </w:r>
      <w:r w:rsidR="000A27E1">
        <w:t xml:space="preserve"> final </w:t>
      </w:r>
      <w:r w:rsidR="0089672A">
        <w:t xml:space="preserve">report on the new dermal penetration study </w:t>
      </w:r>
      <w:r>
        <w:t>was submitted to the COM/SCCS on October 9</w:t>
      </w:r>
      <w:r w:rsidRPr="00C947C3">
        <w:rPr>
          <w:vertAlign w:val="superscript"/>
        </w:rPr>
        <w:t>th</w:t>
      </w:r>
      <w:r>
        <w:t>, 2020</w:t>
      </w:r>
      <w:r w:rsidR="000A27E1">
        <w:t>.</w:t>
      </w:r>
    </w:p>
    <w:p w14:paraId="6405F6D6" w14:textId="77E32B73" w:rsidR="00803CFF" w:rsidRDefault="00803CFF" w:rsidP="000A27E1">
      <w:pPr>
        <w:jc w:val="both"/>
      </w:pPr>
      <w:r>
        <w:lastRenderedPageBreak/>
        <w:t xml:space="preserve">The SCCS </w:t>
      </w:r>
      <w:r w:rsidR="00347AB4">
        <w:t xml:space="preserve">ignored the </w:t>
      </w:r>
      <w:r w:rsidR="00347AB4" w:rsidRPr="00347AB4">
        <w:t>C</w:t>
      </w:r>
      <w:r w:rsidR="00347AB4">
        <w:t>ONS c</w:t>
      </w:r>
      <w:r w:rsidR="00347AB4" w:rsidRPr="00347AB4">
        <w:t xml:space="preserve">omments to the preliminary SCCS opinion </w:t>
      </w:r>
      <w:r w:rsidR="00347AB4">
        <w:t xml:space="preserve">and </w:t>
      </w:r>
      <w:r>
        <w:t xml:space="preserve">adopted the </w:t>
      </w:r>
      <w:r w:rsidR="00347AB4">
        <w:t>final</w:t>
      </w:r>
      <w:r>
        <w:t xml:space="preserve"> opinion </w:t>
      </w:r>
      <w:r w:rsidRPr="00803CFF">
        <w:t xml:space="preserve">on </w:t>
      </w:r>
      <w:r w:rsidR="00347AB4">
        <w:t>30-31 March 2</w:t>
      </w:r>
      <w:r w:rsidRPr="00803CFF">
        <w:t>021</w:t>
      </w:r>
      <w:r>
        <w:t xml:space="preserve"> (SCCS/1627/21) with the following conclusion:</w:t>
      </w:r>
    </w:p>
    <w:p w14:paraId="35E8231C" w14:textId="3F6DD1A9" w:rsidR="00347AB4" w:rsidRPr="00347AB4" w:rsidRDefault="008E0821" w:rsidP="00347AB4">
      <w:pPr>
        <w:pStyle w:val="ListParagraph"/>
        <w:numPr>
          <w:ilvl w:val="0"/>
          <w:numId w:val="6"/>
        </w:numPr>
        <w:spacing w:after="200" w:line="276" w:lineRule="auto"/>
        <w:rPr>
          <w:lang w:val="en-US"/>
        </w:rPr>
      </w:pPr>
      <w:r>
        <w:rPr>
          <w:lang w:val="en-US"/>
        </w:rPr>
        <w:t>T</w:t>
      </w:r>
      <w:r w:rsidR="00347AB4" w:rsidRPr="00347AB4">
        <w:rPr>
          <w:lang w:val="en-US"/>
        </w:rPr>
        <w:t>he SCCS is of the opinion that Octocrylene is safe as a UV-filter at concentrations up to 10% in cosmetic products when used individually.</w:t>
      </w:r>
    </w:p>
    <w:p w14:paraId="2597B05B" w14:textId="485B869B" w:rsidR="00347AB4" w:rsidRPr="00347AB4" w:rsidRDefault="00347AB4" w:rsidP="00347AB4">
      <w:pPr>
        <w:pStyle w:val="ListParagraph"/>
        <w:numPr>
          <w:ilvl w:val="0"/>
          <w:numId w:val="6"/>
        </w:numPr>
        <w:spacing w:after="200" w:line="276" w:lineRule="auto"/>
        <w:rPr>
          <w:lang w:val="en-US"/>
        </w:rPr>
      </w:pPr>
      <w:r w:rsidRPr="00347AB4">
        <w:rPr>
          <w:lang w:val="en-US"/>
        </w:rPr>
        <w:t xml:space="preserve">Octocrylene is also considered safe for a combined use of sunscreen cream/lotion, sunscreen pump spray, face cream, hand cream and lipstick at a concentration up to 10%. </w:t>
      </w:r>
    </w:p>
    <w:p w14:paraId="30B5E275" w14:textId="37025BF8" w:rsidR="00347AB4" w:rsidRPr="00347AB4" w:rsidRDefault="00347AB4" w:rsidP="00347AB4">
      <w:pPr>
        <w:pStyle w:val="ListParagraph"/>
        <w:numPr>
          <w:ilvl w:val="0"/>
          <w:numId w:val="6"/>
        </w:numPr>
        <w:spacing w:after="200" w:line="276" w:lineRule="auto"/>
        <w:rPr>
          <w:lang w:val="en-US"/>
        </w:rPr>
      </w:pPr>
      <w:r w:rsidRPr="00347AB4">
        <w:rPr>
          <w:lang w:val="en-US"/>
        </w:rPr>
        <w:t xml:space="preserve">The use of Octocrylene in sunscreen propellant spray is </w:t>
      </w:r>
      <w:r w:rsidR="00AB6502">
        <w:rPr>
          <w:lang w:val="en-US"/>
        </w:rPr>
        <w:t xml:space="preserve">only </w:t>
      </w:r>
      <w:r w:rsidRPr="00347AB4">
        <w:rPr>
          <w:lang w:val="en-US"/>
        </w:rPr>
        <w:t>considered safe when its concentration does not exceed 9% when used together with face cream, hand cream, and lipstick containing 10% Octocrylene.</w:t>
      </w:r>
    </w:p>
    <w:p w14:paraId="181F3E45" w14:textId="702F9051" w:rsidR="00347AB4" w:rsidRPr="00347AB4" w:rsidRDefault="008E0821" w:rsidP="00347AB4">
      <w:pPr>
        <w:pStyle w:val="ListParagraph"/>
        <w:numPr>
          <w:ilvl w:val="0"/>
          <w:numId w:val="6"/>
        </w:numPr>
        <w:spacing w:after="200" w:line="276" w:lineRule="auto"/>
        <w:rPr>
          <w:lang w:val="en-US"/>
        </w:rPr>
      </w:pPr>
      <w:r>
        <w:rPr>
          <w:lang w:val="en-US"/>
        </w:rPr>
        <w:t>T</w:t>
      </w:r>
      <w:r w:rsidR="00347AB4" w:rsidRPr="00347AB4">
        <w:rPr>
          <w:lang w:val="en-US"/>
        </w:rPr>
        <w:t xml:space="preserve">he evidence </w:t>
      </w:r>
      <w:r>
        <w:rPr>
          <w:lang w:val="en-US"/>
        </w:rPr>
        <w:t xml:space="preserve">from </w:t>
      </w:r>
      <w:r w:rsidRPr="008E0821">
        <w:rPr>
          <w:i/>
          <w:lang w:val="en-US"/>
        </w:rPr>
        <w:t>in vivo</w:t>
      </w:r>
      <w:r>
        <w:rPr>
          <w:lang w:val="en-US"/>
        </w:rPr>
        <w:t xml:space="preserve"> studies </w:t>
      </w:r>
      <w:r w:rsidR="00347AB4" w:rsidRPr="00347AB4">
        <w:rPr>
          <w:lang w:val="en-US"/>
        </w:rPr>
        <w:t>is not conclusive enough at present to enable deriving a specific endocrine-related toxicological point of departure for use in safety assessment.</w:t>
      </w:r>
    </w:p>
    <w:p w14:paraId="01A49F15" w14:textId="6240D3C2" w:rsidR="00347AB4" w:rsidRPr="00347AB4" w:rsidRDefault="008E0821" w:rsidP="00347AB4">
      <w:pPr>
        <w:pStyle w:val="ListParagraph"/>
        <w:numPr>
          <w:ilvl w:val="0"/>
          <w:numId w:val="6"/>
        </w:numPr>
        <w:spacing w:after="200" w:line="276" w:lineRule="auto"/>
        <w:rPr>
          <w:lang w:val="en-US"/>
        </w:rPr>
      </w:pPr>
      <w:r>
        <w:rPr>
          <w:lang w:val="en-US"/>
        </w:rPr>
        <w:t>T</w:t>
      </w:r>
      <w:r w:rsidR="00347AB4" w:rsidRPr="00347AB4">
        <w:rPr>
          <w:lang w:val="en-US"/>
        </w:rPr>
        <w:t>aking into consideration the widespread use of Octocrylene in cosmetic products, the number of reported cases of allergic contact dermatitis appears to be negligible.</w:t>
      </w:r>
    </w:p>
    <w:p w14:paraId="23779D15" w14:textId="55CC62BA" w:rsidR="00347AB4" w:rsidRPr="00347AB4" w:rsidRDefault="008E0821" w:rsidP="00347AB4">
      <w:pPr>
        <w:pStyle w:val="ListParagraph"/>
        <w:numPr>
          <w:ilvl w:val="0"/>
          <w:numId w:val="6"/>
        </w:numPr>
        <w:spacing w:after="200" w:line="276" w:lineRule="auto"/>
        <w:rPr>
          <w:lang w:val="en-US"/>
        </w:rPr>
      </w:pPr>
      <w:r>
        <w:rPr>
          <w:lang w:val="en-US"/>
        </w:rPr>
        <w:t>O</w:t>
      </w:r>
      <w:r w:rsidR="00347AB4" w:rsidRPr="00347AB4">
        <w:rPr>
          <w:lang w:val="en-US"/>
        </w:rPr>
        <w:t xml:space="preserve">ccurrence of </w:t>
      </w:r>
      <w:proofErr w:type="spellStart"/>
      <w:r w:rsidR="00347AB4" w:rsidRPr="00347AB4">
        <w:rPr>
          <w:lang w:val="en-US"/>
        </w:rPr>
        <w:t>photoallergy</w:t>
      </w:r>
      <w:proofErr w:type="spellEnd"/>
      <w:r w:rsidR="00347AB4" w:rsidRPr="00347AB4">
        <w:rPr>
          <w:lang w:val="en-US"/>
        </w:rPr>
        <w:t xml:space="preserve"> to Octocrylene is strongly related to a previous </w:t>
      </w:r>
      <w:proofErr w:type="spellStart"/>
      <w:r w:rsidR="00347AB4" w:rsidRPr="00347AB4">
        <w:rPr>
          <w:lang w:val="en-US"/>
        </w:rPr>
        <w:t>photoallergy</w:t>
      </w:r>
      <w:proofErr w:type="spellEnd"/>
      <w:r w:rsidR="00347AB4" w:rsidRPr="00347AB4">
        <w:rPr>
          <w:lang w:val="en-US"/>
        </w:rPr>
        <w:t xml:space="preserve"> to topical ketoprofen.</w:t>
      </w:r>
    </w:p>
    <w:p w14:paraId="24FF77B8" w14:textId="77777777" w:rsidR="00277E86" w:rsidRDefault="00277E86" w:rsidP="00277E86">
      <w:pPr>
        <w:jc w:val="both"/>
      </w:pPr>
    </w:p>
    <w:p w14:paraId="24499DE6" w14:textId="478F5FD9" w:rsidR="00277E86" w:rsidRPr="00865856" w:rsidRDefault="00277E86" w:rsidP="00277E86">
      <w:pPr>
        <w:jc w:val="both"/>
      </w:pPr>
      <w:r w:rsidRPr="00865856">
        <w:t xml:space="preserve">The Commission drafted regulatory annex language attempting to mirror the SCCS opinion language, and subsequently invited the Consortium to review and provide comment. In June the Consortium provided comments on the draft with the intent to simplify and clarify the usage restrictions, </w:t>
      </w:r>
      <w:r w:rsidR="004911FE" w:rsidRPr="00865856">
        <w:rPr>
          <w:lang w:val="en-BE"/>
        </w:rPr>
        <w:t>and to be able to keep the (as acid</w:t>
      </w:r>
      <w:r w:rsidRPr="00865856">
        <w:t>)</w:t>
      </w:r>
      <w:r w:rsidR="004911FE" w:rsidRPr="00865856">
        <w:rPr>
          <w:lang w:val="en-BE"/>
        </w:rPr>
        <w:t xml:space="preserve"> mention in the regulatory entry</w:t>
      </w:r>
      <w:r w:rsidRPr="00865856">
        <w:t xml:space="preserve">. In October the Commission issued an updated proposal to the WTO (see below). Since </w:t>
      </w:r>
      <w:proofErr w:type="gramStart"/>
      <w:r w:rsidRPr="00865856">
        <w:t>then</w:t>
      </w:r>
      <w:proofErr w:type="gramEnd"/>
      <w:r w:rsidRPr="00865856">
        <w:t xml:space="preserve"> CE has learned from the CPWG that this proposal will be the final annex entry language and the Commission is not open to further comments.</w:t>
      </w:r>
    </w:p>
    <w:p w14:paraId="68744E7D" w14:textId="220BCBE4" w:rsidR="001B0697" w:rsidRPr="00697878" w:rsidRDefault="00697878" w:rsidP="006863FD">
      <w:pPr>
        <w:jc w:val="both"/>
      </w:pPr>
      <w:bookmarkStart w:id="0" w:name="_Hlk95315043"/>
      <w:r w:rsidRPr="00697878">
        <w:t xml:space="preserve">During the November 2021 CPWG meeting the EU COM announced that the proposed risk management measures would be put to a vote in </w:t>
      </w:r>
      <w:proofErr w:type="spellStart"/>
      <w:r w:rsidRPr="00697878">
        <w:t>Januar</w:t>
      </w:r>
      <w:proofErr w:type="spellEnd"/>
      <w:r w:rsidR="005B5256">
        <w:rPr>
          <w:lang w:val="en-BE"/>
        </w:rPr>
        <w:t>y 2022</w:t>
      </w:r>
      <w:r w:rsidRPr="00697878">
        <w:t xml:space="preserve">. The March 2022 CPWG meeting agenda contains an agenda point: </w:t>
      </w:r>
      <w:r w:rsidRPr="00697878">
        <w:rPr>
          <w:i/>
          <w:iCs/>
        </w:rPr>
        <w:t>Results of written votes on UV filters</w:t>
      </w:r>
      <w:r w:rsidRPr="00697878">
        <w:t xml:space="preserve"> where it is expected an update on timelines of adoption and publication will take place.</w:t>
      </w:r>
    </w:p>
    <w:bookmarkEnd w:id="0"/>
    <w:p w14:paraId="72D5C5BA" w14:textId="017B0B7C" w:rsidR="006863FD" w:rsidRPr="006863FD" w:rsidRDefault="006863FD" w:rsidP="006863FD">
      <w:pPr>
        <w:jc w:val="both"/>
        <w:rPr>
          <w:rFonts w:cstheme="minorHAnsi"/>
          <w:b/>
          <w:bCs/>
          <w:sz w:val="24"/>
          <w:szCs w:val="24"/>
        </w:rPr>
      </w:pPr>
      <w:r w:rsidRPr="006863FD">
        <w:rPr>
          <w:rFonts w:cstheme="minorHAnsi"/>
          <w:b/>
          <w:bCs/>
          <w:sz w:val="24"/>
          <w:szCs w:val="24"/>
        </w:rPr>
        <w:t>Horizontal impact</w:t>
      </w:r>
    </w:p>
    <w:p w14:paraId="06194527" w14:textId="169C9655" w:rsidR="004A1549" w:rsidRDefault="00871C7B" w:rsidP="00C36A55">
      <w:pPr>
        <w:jc w:val="both"/>
      </w:pPr>
      <w:r>
        <w:t>NA</w:t>
      </w:r>
    </w:p>
    <w:p w14:paraId="103FE60A" w14:textId="77777777" w:rsidR="00871C7B" w:rsidRDefault="00871C7B" w:rsidP="00C36A55">
      <w:pPr>
        <w:jc w:val="both"/>
      </w:pPr>
    </w:p>
    <w:p w14:paraId="0CEAEBD3" w14:textId="2B65BC72" w:rsidR="0076100E" w:rsidRPr="0076100E" w:rsidRDefault="0076100E" w:rsidP="00C36A55">
      <w:pPr>
        <w:jc w:val="both"/>
        <w:rPr>
          <w:b/>
        </w:rPr>
      </w:pPr>
      <w:r w:rsidRPr="0076100E">
        <w:rPr>
          <w:b/>
        </w:rPr>
        <w:t>ANY OTHER COMMENT</w:t>
      </w:r>
    </w:p>
    <w:p w14:paraId="06177EF8" w14:textId="77777777" w:rsidR="00290DDA" w:rsidRDefault="00561887" w:rsidP="00561887">
      <w:pPr>
        <w:jc w:val="both"/>
      </w:pPr>
      <w:r>
        <w:t xml:space="preserve">The </w:t>
      </w:r>
      <w:r w:rsidR="00347AB4">
        <w:t>final</w:t>
      </w:r>
      <w:r w:rsidR="0007099C">
        <w:t xml:space="preserve"> SCCS opinion</w:t>
      </w:r>
      <w:r>
        <w:t xml:space="preserve"> reconfirms that the use of Octocrylene in cosmetic products at the maximum allowed concentration of 10%</w:t>
      </w:r>
      <w:r w:rsidR="00CF4F94">
        <w:t xml:space="preserve"> in non-aerosol whole body product</w:t>
      </w:r>
      <w:r>
        <w:t xml:space="preserve"> is safe. </w:t>
      </w:r>
    </w:p>
    <w:p w14:paraId="04C27282" w14:textId="77777777" w:rsidR="00290DDA" w:rsidRDefault="00592353" w:rsidP="00561887">
      <w:pPr>
        <w:jc w:val="both"/>
      </w:pPr>
      <w:r w:rsidRPr="00592353">
        <w:t>The use of Octocrylene in sunscreen propellant spray is considered safe when its concentration does not exceed 9% when used together with face cream, hand cream, and lipstick containing 10% Octocrylene</w:t>
      </w:r>
      <w:r>
        <w:t xml:space="preserve">. </w:t>
      </w:r>
    </w:p>
    <w:p w14:paraId="408DC4A1" w14:textId="58711E28" w:rsidR="00756813" w:rsidRDefault="00290DDA" w:rsidP="00561887">
      <w:pPr>
        <w:jc w:val="both"/>
      </w:pPr>
      <w:r>
        <w:t>T</w:t>
      </w:r>
      <w:r w:rsidR="00561887">
        <w:t>here is no evidence for</w:t>
      </w:r>
      <w:r w:rsidR="00925291">
        <w:t xml:space="preserve"> </w:t>
      </w:r>
      <w:r w:rsidR="00561887">
        <w:t>Octocrylene of any adverse effects related to endocrine activity at the concentrations used.</w:t>
      </w:r>
      <w:r w:rsidR="00072102" w:rsidRPr="00072102">
        <w:t xml:space="preserve"> </w:t>
      </w:r>
    </w:p>
    <w:p w14:paraId="069ED740" w14:textId="16B46940" w:rsidR="00290DDA" w:rsidRDefault="00290DDA" w:rsidP="00561887">
      <w:pPr>
        <w:jc w:val="both"/>
      </w:pPr>
    </w:p>
    <w:p w14:paraId="7DF3C123" w14:textId="77777777" w:rsidR="00BF1069" w:rsidRPr="00BF1069" w:rsidRDefault="00290DDA" w:rsidP="00561887">
      <w:pPr>
        <w:jc w:val="both"/>
        <w:rPr>
          <w:b/>
        </w:rPr>
      </w:pPr>
      <w:r w:rsidRPr="00BF1069">
        <w:rPr>
          <w:b/>
        </w:rPr>
        <w:t>Lessons learn</w:t>
      </w:r>
      <w:r w:rsidR="00C308EC" w:rsidRPr="00BF1069">
        <w:rPr>
          <w:b/>
        </w:rPr>
        <w:t>e</w:t>
      </w:r>
      <w:r w:rsidRPr="00BF1069">
        <w:rPr>
          <w:b/>
        </w:rPr>
        <w:t>d:</w:t>
      </w:r>
      <w:r w:rsidR="00BF1069" w:rsidRPr="00BF1069">
        <w:rPr>
          <w:b/>
        </w:rPr>
        <w:t xml:space="preserve"> </w:t>
      </w:r>
    </w:p>
    <w:p w14:paraId="10D2A56B" w14:textId="34EC7F0F" w:rsidR="00BF1069" w:rsidRDefault="00BF1069" w:rsidP="00BF1069">
      <w:pPr>
        <w:jc w:val="both"/>
      </w:pPr>
      <w:r>
        <w:t xml:space="preserve">In terms of exposure assessment there is overall no consistency between the individual SCCS opinions on UV filters, </w:t>
      </w:r>
      <w:proofErr w:type="gramStart"/>
      <w:r>
        <w:t>e.g.</w:t>
      </w:r>
      <w:proofErr w:type="gramEnd"/>
      <w:r>
        <w:t xml:space="preserve"> taking into consideration the </w:t>
      </w:r>
      <w:r w:rsidRPr="00BF1069">
        <w:t>dermal</w:t>
      </w:r>
      <w:r>
        <w:t xml:space="preserve"> absorption value in </w:t>
      </w:r>
      <w:proofErr w:type="spellStart"/>
      <w:r>
        <w:t>μg</w:t>
      </w:r>
      <w:proofErr w:type="spellEnd"/>
      <w:r>
        <w:t>/cm</w:t>
      </w:r>
      <w:r w:rsidRPr="00BF1069">
        <w:rPr>
          <w:vertAlign w:val="superscript"/>
        </w:rPr>
        <w:t>2</w:t>
      </w:r>
      <w:r>
        <w:t xml:space="preserve"> </w:t>
      </w:r>
      <w:r w:rsidRPr="00BF1069">
        <w:rPr>
          <w:i/>
        </w:rPr>
        <w:t>vs</w:t>
      </w:r>
      <w:r>
        <w:t xml:space="preserve"> the </w:t>
      </w:r>
      <w:r w:rsidRPr="00BF1069">
        <w:t xml:space="preserve">percentage </w:t>
      </w:r>
      <w:r>
        <w:t xml:space="preserve">of the UV filter being </w:t>
      </w:r>
      <w:r w:rsidRPr="00BF1069">
        <w:t>dermally absorbed from the sunscreen formulation</w:t>
      </w:r>
      <w:r>
        <w:t>.</w:t>
      </w:r>
    </w:p>
    <w:p w14:paraId="05ED6BDC" w14:textId="3AF94583" w:rsidR="00BF1069" w:rsidRDefault="00BF1069" w:rsidP="00BF1069">
      <w:pPr>
        <w:jc w:val="both"/>
      </w:pPr>
      <w:r>
        <w:t xml:space="preserve">In contrast to previous opinions on UV filters, the SCCS uses </w:t>
      </w:r>
      <w:r w:rsidRPr="00BF1069">
        <w:t xml:space="preserve">a </w:t>
      </w:r>
      <w:r w:rsidR="00A06DA6">
        <w:t xml:space="preserve">very </w:t>
      </w:r>
      <w:r w:rsidRPr="00BF1069">
        <w:t>conservative approach regarding co-use of sunscreen products with face cream, hand cream and lipstick, and the assumption of daily use of these products</w:t>
      </w:r>
      <w:r>
        <w:t xml:space="preserve">. This approach goes beyond the usual consideration of </w:t>
      </w:r>
      <w:r w:rsidR="0088566B">
        <w:t xml:space="preserve">the already conservative </w:t>
      </w:r>
      <w:r w:rsidRPr="00BF1069">
        <w:t xml:space="preserve">18 g/day </w:t>
      </w:r>
      <w:r>
        <w:t xml:space="preserve">for </w:t>
      </w:r>
      <w:r w:rsidR="0088566B">
        <w:t>the consumer exposure of UV filter products</w:t>
      </w:r>
      <w:r>
        <w:t>.</w:t>
      </w:r>
    </w:p>
    <w:p w14:paraId="3F7A67C6" w14:textId="3B993082" w:rsidR="00561887" w:rsidRDefault="00561887" w:rsidP="00561887">
      <w:pPr>
        <w:jc w:val="both"/>
      </w:pPr>
    </w:p>
    <w:p w14:paraId="7EE6AC30" w14:textId="0CB5196F" w:rsidR="00BF1069" w:rsidRDefault="00BF1069" w:rsidP="00561887">
      <w:pPr>
        <w:jc w:val="both"/>
      </w:pPr>
    </w:p>
    <w:p w14:paraId="1A9D6DBA" w14:textId="77777777" w:rsidR="00BF1069" w:rsidRDefault="00BF1069" w:rsidP="00BF1069">
      <w:pPr>
        <w:jc w:val="both"/>
        <w:sectPr w:rsidR="00BF1069" w:rsidSect="001038B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p>
    <w:p w14:paraId="155D3A3B" w14:textId="17F8D846" w:rsidR="00D860C8" w:rsidRDefault="00D860C8" w:rsidP="00C36A55">
      <w:pPr>
        <w:jc w:val="both"/>
      </w:pPr>
    </w:p>
    <w:p w14:paraId="099E7E94" w14:textId="4E47B901" w:rsidR="00756813" w:rsidRPr="00926FB1" w:rsidRDefault="00DB0BE0" w:rsidP="00756813">
      <w:pPr>
        <w:pStyle w:val="ListParagraph"/>
        <w:numPr>
          <w:ilvl w:val="0"/>
          <w:numId w:val="4"/>
        </w:numPr>
        <w:spacing w:after="120" w:line="276" w:lineRule="auto"/>
        <w:jc w:val="both"/>
        <w:rPr>
          <w:rFonts w:ascii="Times New Roman" w:hAnsi="Times New Roman" w:cs="Times New Roman"/>
          <w:sz w:val="24"/>
        </w:rPr>
      </w:pPr>
      <w:r>
        <w:rPr>
          <w:rFonts w:ascii="Times New Roman" w:hAnsi="Times New Roman" w:cs="Times New Roman"/>
          <w:sz w:val="24"/>
        </w:rPr>
        <w:t xml:space="preserve">Entry </w:t>
      </w:r>
      <w:r w:rsidR="00756813">
        <w:rPr>
          <w:rFonts w:ascii="Times New Roman" w:hAnsi="Times New Roman" w:cs="Times New Roman"/>
          <w:sz w:val="24"/>
        </w:rPr>
        <w:t xml:space="preserve">in Annex </w:t>
      </w:r>
      <w:r>
        <w:rPr>
          <w:rFonts w:ascii="Times New Roman" w:hAnsi="Times New Roman" w:cs="Times New Roman"/>
          <w:sz w:val="24"/>
        </w:rPr>
        <w:t>VI</w:t>
      </w:r>
      <w:r w:rsidR="00756813" w:rsidRPr="00C73A44">
        <w:rPr>
          <w:rFonts w:ascii="Times New Roman" w:hAnsi="Times New Roman" w:cs="Times New Roman"/>
          <w:sz w:val="24"/>
        </w:rPr>
        <w:t>:</w:t>
      </w:r>
      <w:r w:rsidR="00A43155">
        <w:rPr>
          <w:rFonts w:ascii="Times New Roman" w:hAnsi="Times New Roman" w:cs="Times New Roman"/>
          <w:sz w:val="24"/>
        </w:rPr>
        <w:t xml:space="preserve"> </w:t>
      </w:r>
      <w:r w:rsidR="00D0154A">
        <w:rPr>
          <w:rFonts w:ascii="Times New Roman" w:hAnsi="Times New Roman" w:cs="Times New Roman"/>
          <w:sz w:val="24"/>
          <w:lang w:val="en-BE"/>
        </w:rPr>
        <w:t>Comments on regulatory entry CONS sent to EU COM</w:t>
      </w:r>
    </w:p>
    <w:tbl>
      <w:tblPr>
        <w:tblW w:w="14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991"/>
        <w:gridCol w:w="2552"/>
        <w:gridCol w:w="1559"/>
        <w:gridCol w:w="1125"/>
        <w:gridCol w:w="1849"/>
        <w:gridCol w:w="1701"/>
        <w:gridCol w:w="984"/>
        <w:gridCol w:w="1237"/>
      </w:tblGrid>
      <w:tr w:rsidR="00756813" w:rsidRPr="00F2194D" w14:paraId="1491F688" w14:textId="77777777" w:rsidTr="005E0E1E">
        <w:trPr>
          <w:trHeight w:val="300"/>
          <w:jc w:val="center"/>
        </w:trPr>
        <w:tc>
          <w:tcPr>
            <w:tcW w:w="1267" w:type="dxa"/>
            <w:vMerge w:val="restart"/>
            <w:tcBorders>
              <w:top w:val="single" w:sz="4" w:space="0" w:color="auto"/>
              <w:left w:val="single" w:sz="4" w:space="0" w:color="auto"/>
              <w:right w:val="single" w:sz="4" w:space="0" w:color="auto"/>
            </w:tcBorders>
            <w:noWrap/>
            <w:hideMark/>
          </w:tcPr>
          <w:p w14:paraId="206AB328" w14:textId="77777777" w:rsidR="00756813" w:rsidRPr="00F2194D" w:rsidRDefault="00756813" w:rsidP="00EE087E">
            <w:pPr>
              <w:autoSpaceDE w:val="0"/>
              <w:autoSpaceDN w:val="0"/>
              <w:adjustRightInd w:val="0"/>
              <w:spacing w:before="120" w:after="120" w:line="240" w:lineRule="auto"/>
              <w:jc w:val="both"/>
              <w:rPr>
                <w:rFonts w:ascii="Times New Roman" w:eastAsia="Times New Roman" w:hAnsi="Times New Roman" w:cs="Times New Roman"/>
                <w:sz w:val="24"/>
                <w:szCs w:val="24"/>
              </w:rPr>
            </w:pPr>
          </w:p>
          <w:p w14:paraId="3867D2A2"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Reference number</w:t>
            </w:r>
          </w:p>
        </w:tc>
        <w:tc>
          <w:tcPr>
            <w:tcW w:w="7227" w:type="dxa"/>
            <w:gridSpan w:val="4"/>
            <w:tcBorders>
              <w:top w:val="single" w:sz="4" w:space="0" w:color="auto"/>
              <w:left w:val="single" w:sz="4" w:space="0" w:color="auto"/>
              <w:bottom w:val="single" w:sz="4" w:space="0" w:color="auto"/>
              <w:right w:val="single" w:sz="4" w:space="0" w:color="auto"/>
            </w:tcBorders>
            <w:noWrap/>
            <w:hideMark/>
          </w:tcPr>
          <w:p w14:paraId="0208672C"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Substance Identification</w:t>
            </w:r>
          </w:p>
        </w:tc>
        <w:tc>
          <w:tcPr>
            <w:tcW w:w="4534" w:type="dxa"/>
            <w:gridSpan w:val="3"/>
            <w:tcBorders>
              <w:top w:val="single" w:sz="4" w:space="0" w:color="auto"/>
              <w:left w:val="single" w:sz="4" w:space="0" w:color="auto"/>
              <w:bottom w:val="single" w:sz="4" w:space="0" w:color="auto"/>
              <w:right w:val="single" w:sz="4" w:space="0" w:color="auto"/>
            </w:tcBorders>
            <w:noWrap/>
            <w:hideMark/>
          </w:tcPr>
          <w:p w14:paraId="176AC00E"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Conditions</w:t>
            </w:r>
          </w:p>
        </w:tc>
        <w:tc>
          <w:tcPr>
            <w:tcW w:w="1237" w:type="dxa"/>
            <w:tcBorders>
              <w:top w:val="single" w:sz="4" w:space="0" w:color="auto"/>
              <w:left w:val="single" w:sz="4" w:space="0" w:color="auto"/>
              <w:bottom w:val="single" w:sz="4" w:space="0" w:color="auto"/>
              <w:right w:val="single" w:sz="4" w:space="0" w:color="auto"/>
            </w:tcBorders>
            <w:noWrap/>
            <w:hideMark/>
          </w:tcPr>
          <w:p w14:paraId="75568DFC"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Wording of conditions of use and warnings</w:t>
            </w:r>
          </w:p>
        </w:tc>
      </w:tr>
      <w:tr w:rsidR="00756813" w:rsidRPr="00F2194D" w14:paraId="02693173" w14:textId="77777777" w:rsidTr="008566A7">
        <w:trPr>
          <w:trHeight w:val="1539"/>
          <w:jc w:val="center"/>
        </w:trPr>
        <w:tc>
          <w:tcPr>
            <w:tcW w:w="1267" w:type="dxa"/>
            <w:vMerge/>
            <w:tcBorders>
              <w:left w:val="single" w:sz="4" w:space="0" w:color="auto"/>
              <w:bottom w:val="single" w:sz="4" w:space="0" w:color="auto"/>
              <w:right w:val="single" w:sz="4" w:space="0" w:color="auto"/>
            </w:tcBorders>
            <w:hideMark/>
          </w:tcPr>
          <w:p w14:paraId="3EAB8E28"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14:paraId="56796AB3"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Chemical name/INN</w:t>
            </w:r>
          </w:p>
        </w:tc>
        <w:tc>
          <w:tcPr>
            <w:tcW w:w="2552" w:type="dxa"/>
            <w:tcBorders>
              <w:top w:val="single" w:sz="4" w:space="0" w:color="auto"/>
              <w:left w:val="single" w:sz="4" w:space="0" w:color="auto"/>
              <w:bottom w:val="single" w:sz="4" w:space="0" w:color="auto"/>
              <w:right w:val="single" w:sz="4" w:space="0" w:color="auto"/>
            </w:tcBorders>
            <w:hideMark/>
          </w:tcPr>
          <w:p w14:paraId="0AFF2A86"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Name of Common Ingredients Glossary</w:t>
            </w:r>
          </w:p>
        </w:tc>
        <w:tc>
          <w:tcPr>
            <w:tcW w:w="1559" w:type="dxa"/>
            <w:tcBorders>
              <w:top w:val="single" w:sz="4" w:space="0" w:color="auto"/>
              <w:left w:val="single" w:sz="4" w:space="0" w:color="auto"/>
              <w:bottom w:val="single" w:sz="4" w:space="0" w:color="auto"/>
              <w:right w:val="single" w:sz="4" w:space="0" w:color="auto"/>
            </w:tcBorders>
            <w:hideMark/>
          </w:tcPr>
          <w:p w14:paraId="7A0F13D1"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CAS number</w:t>
            </w:r>
          </w:p>
        </w:tc>
        <w:tc>
          <w:tcPr>
            <w:tcW w:w="1125" w:type="dxa"/>
            <w:tcBorders>
              <w:top w:val="single" w:sz="4" w:space="0" w:color="auto"/>
              <w:left w:val="single" w:sz="4" w:space="0" w:color="auto"/>
              <w:bottom w:val="single" w:sz="4" w:space="0" w:color="auto"/>
              <w:right w:val="single" w:sz="4" w:space="0" w:color="auto"/>
            </w:tcBorders>
            <w:hideMark/>
          </w:tcPr>
          <w:p w14:paraId="2F784185"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EC number</w:t>
            </w:r>
          </w:p>
        </w:tc>
        <w:tc>
          <w:tcPr>
            <w:tcW w:w="1849" w:type="dxa"/>
            <w:tcBorders>
              <w:top w:val="single" w:sz="4" w:space="0" w:color="auto"/>
              <w:left w:val="single" w:sz="4" w:space="0" w:color="auto"/>
              <w:bottom w:val="single" w:sz="4" w:space="0" w:color="auto"/>
              <w:right w:val="single" w:sz="4" w:space="0" w:color="auto"/>
            </w:tcBorders>
            <w:hideMark/>
          </w:tcPr>
          <w:p w14:paraId="33766A40"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Product type, Body parts</w:t>
            </w:r>
          </w:p>
        </w:tc>
        <w:tc>
          <w:tcPr>
            <w:tcW w:w="1701" w:type="dxa"/>
            <w:tcBorders>
              <w:top w:val="single" w:sz="4" w:space="0" w:color="auto"/>
              <w:left w:val="single" w:sz="4" w:space="0" w:color="auto"/>
              <w:bottom w:val="single" w:sz="4" w:space="0" w:color="auto"/>
              <w:right w:val="single" w:sz="4" w:space="0" w:color="auto"/>
            </w:tcBorders>
            <w:hideMark/>
          </w:tcPr>
          <w:p w14:paraId="60D6F868"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Maximum concentration in ready for use preparation</w:t>
            </w:r>
          </w:p>
        </w:tc>
        <w:tc>
          <w:tcPr>
            <w:tcW w:w="984" w:type="dxa"/>
            <w:tcBorders>
              <w:top w:val="single" w:sz="4" w:space="0" w:color="auto"/>
              <w:left w:val="single" w:sz="4" w:space="0" w:color="auto"/>
              <w:bottom w:val="single" w:sz="4" w:space="0" w:color="auto"/>
              <w:right w:val="single" w:sz="4" w:space="0" w:color="auto"/>
            </w:tcBorders>
            <w:hideMark/>
          </w:tcPr>
          <w:p w14:paraId="3204A1D9"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Other</w:t>
            </w:r>
          </w:p>
        </w:tc>
        <w:tc>
          <w:tcPr>
            <w:tcW w:w="1237" w:type="dxa"/>
            <w:tcBorders>
              <w:top w:val="single" w:sz="4" w:space="0" w:color="auto"/>
              <w:left w:val="single" w:sz="4" w:space="0" w:color="auto"/>
              <w:bottom w:val="single" w:sz="4" w:space="0" w:color="auto"/>
              <w:right w:val="single" w:sz="4" w:space="0" w:color="auto"/>
            </w:tcBorders>
            <w:hideMark/>
          </w:tcPr>
          <w:p w14:paraId="76C1C32B"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p>
        </w:tc>
      </w:tr>
      <w:tr w:rsidR="00756813" w:rsidRPr="00F2194D" w14:paraId="05B4673E" w14:textId="77777777" w:rsidTr="008566A7">
        <w:trPr>
          <w:trHeight w:val="300"/>
          <w:jc w:val="center"/>
        </w:trPr>
        <w:tc>
          <w:tcPr>
            <w:tcW w:w="1267" w:type="dxa"/>
            <w:tcBorders>
              <w:top w:val="single" w:sz="4" w:space="0" w:color="auto"/>
              <w:left w:val="single" w:sz="4" w:space="0" w:color="auto"/>
              <w:bottom w:val="single" w:sz="4" w:space="0" w:color="auto"/>
              <w:right w:val="single" w:sz="4" w:space="0" w:color="auto"/>
            </w:tcBorders>
            <w:hideMark/>
          </w:tcPr>
          <w:p w14:paraId="189AC0C0"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a</w:t>
            </w:r>
          </w:p>
        </w:tc>
        <w:tc>
          <w:tcPr>
            <w:tcW w:w="1991" w:type="dxa"/>
            <w:tcBorders>
              <w:top w:val="single" w:sz="4" w:space="0" w:color="auto"/>
              <w:left w:val="single" w:sz="4" w:space="0" w:color="auto"/>
              <w:bottom w:val="single" w:sz="4" w:space="0" w:color="auto"/>
              <w:right w:val="single" w:sz="4" w:space="0" w:color="auto"/>
            </w:tcBorders>
            <w:hideMark/>
          </w:tcPr>
          <w:p w14:paraId="03E15388"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b</w:t>
            </w:r>
          </w:p>
        </w:tc>
        <w:tc>
          <w:tcPr>
            <w:tcW w:w="2552" w:type="dxa"/>
            <w:tcBorders>
              <w:top w:val="single" w:sz="4" w:space="0" w:color="auto"/>
              <w:left w:val="single" w:sz="4" w:space="0" w:color="auto"/>
              <w:bottom w:val="single" w:sz="4" w:space="0" w:color="auto"/>
              <w:right w:val="single" w:sz="4" w:space="0" w:color="auto"/>
            </w:tcBorders>
            <w:hideMark/>
          </w:tcPr>
          <w:p w14:paraId="764E4159"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59" w:type="dxa"/>
            <w:tcBorders>
              <w:top w:val="single" w:sz="4" w:space="0" w:color="auto"/>
              <w:left w:val="single" w:sz="4" w:space="0" w:color="auto"/>
              <w:bottom w:val="single" w:sz="4" w:space="0" w:color="auto"/>
              <w:right w:val="single" w:sz="4" w:space="0" w:color="auto"/>
            </w:tcBorders>
            <w:hideMark/>
          </w:tcPr>
          <w:p w14:paraId="332DF555"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125" w:type="dxa"/>
            <w:tcBorders>
              <w:top w:val="single" w:sz="4" w:space="0" w:color="auto"/>
              <w:left w:val="single" w:sz="4" w:space="0" w:color="auto"/>
              <w:bottom w:val="single" w:sz="4" w:space="0" w:color="auto"/>
              <w:right w:val="single" w:sz="4" w:space="0" w:color="auto"/>
            </w:tcBorders>
            <w:hideMark/>
          </w:tcPr>
          <w:p w14:paraId="05299D6B"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e</w:t>
            </w:r>
          </w:p>
        </w:tc>
        <w:tc>
          <w:tcPr>
            <w:tcW w:w="1849" w:type="dxa"/>
            <w:tcBorders>
              <w:top w:val="single" w:sz="4" w:space="0" w:color="auto"/>
              <w:left w:val="single" w:sz="4" w:space="0" w:color="auto"/>
              <w:bottom w:val="single" w:sz="4" w:space="0" w:color="auto"/>
              <w:right w:val="single" w:sz="4" w:space="0" w:color="auto"/>
            </w:tcBorders>
            <w:hideMark/>
          </w:tcPr>
          <w:p w14:paraId="2888B5B0"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f</w:t>
            </w:r>
          </w:p>
        </w:tc>
        <w:tc>
          <w:tcPr>
            <w:tcW w:w="1701" w:type="dxa"/>
            <w:tcBorders>
              <w:top w:val="single" w:sz="4" w:space="0" w:color="auto"/>
              <w:left w:val="single" w:sz="4" w:space="0" w:color="auto"/>
              <w:bottom w:val="single" w:sz="4" w:space="0" w:color="auto"/>
              <w:right w:val="single" w:sz="4" w:space="0" w:color="auto"/>
            </w:tcBorders>
            <w:hideMark/>
          </w:tcPr>
          <w:p w14:paraId="1FAEF409"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g</w:t>
            </w:r>
          </w:p>
        </w:tc>
        <w:tc>
          <w:tcPr>
            <w:tcW w:w="984" w:type="dxa"/>
            <w:tcBorders>
              <w:top w:val="single" w:sz="4" w:space="0" w:color="auto"/>
              <w:left w:val="single" w:sz="4" w:space="0" w:color="auto"/>
              <w:bottom w:val="single" w:sz="4" w:space="0" w:color="auto"/>
              <w:right w:val="single" w:sz="4" w:space="0" w:color="auto"/>
            </w:tcBorders>
            <w:hideMark/>
          </w:tcPr>
          <w:p w14:paraId="15D4C19B"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h</w:t>
            </w:r>
          </w:p>
        </w:tc>
        <w:tc>
          <w:tcPr>
            <w:tcW w:w="1237" w:type="dxa"/>
            <w:tcBorders>
              <w:top w:val="single" w:sz="4" w:space="0" w:color="auto"/>
              <w:left w:val="single" w:sz="4" w:space="0" w:color="auto"/>
              <w:bottom w:val="single" w:sz="4" w:space="0" w:color="auto"/>
              <w:right w:val="single" w:sz="4" w:space="0" w:color="auto"/>
            </w:tcBorders>
            <w:hideMark/>
          </w:tcPr>
          <w:p w14:paraId="1E1423F6"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proofErr w:type="spellStart"/>
            <w:r w:rsidRPr="00F2194D">
              <w:rPr>
                <w:rFonts w:ascii="Times New Roman" w:eastAsia="Times New Roman" w:hAnsi="Times New Roman" w:cs="Times New Roman"/>
                <w:sz w:val="24"/>
                <w:szCs w:val="24"/>
              </w:rPr>
              <w:t>i</w:t>
            </w:r>
            <w:proofErr w:type="spellEnd"/>
          </w:p>
        </w:tc>
      </w:tr>
      <w:tr w:rsidR="00756813" w:rsidRPr="00F2194D" w14:paraId="242C8DA4" w14:textId="77777777" w:rsidTr="008566A7">
        <w:trPr>
          <w:trHeight w:val="300"/>
          <w:jc w:val="center"/>
        </w:trPr>
        <w:tc>
          <w:tcPr>
            <w:tcW w:w="1267" w:type="dxa"/>
            <w:tcBorders>
              <w:top w:val="single" w:sz="4" w:space="0" w:color="auto"/>
              <w:left w:val="single" w:sz="4" w:space="0" w:color="auto"/>
              <w:bottom w:val="single" w:sz="4" w:space="0" w:color="auto"/>
              <w:right w:val="single" w:sz="4" w:space="0" w:color="auto"/>
            </w:tcBorders>
          </w:tcPr>
          <w:p w14:paraId="74E964F3"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1A1265">
              <w:rPr>
                <w:rFonts w:ascii="Times New Roman" w:eastAsia="Times New Roman" w:hAnsi="Times New Roman" w:cs="Times New Roman"/>
                <w:i/>
                <w:sz w:val="24"/>
                <w:szCs w:val="24"/>
              </w:rPr>
              <w:t>x</w:t>
            </w:r>
          </w:p>
        </w:tc>
        <w:tc>
          <w:tcPr>
            <w:tcW w:w="1991" w:type="dxa"/>
            <w:tcBorders>
              <w:top w:val="single" w:sz="4" w:space="0" w:color="auto"/>
              <w:left w:val="single" w:sz="4" w:space="0" w:color="auto"/>
              <w:bottom w:val="single" w:sz="4" w:space="0" w:color="auto"/>
              <w:right w:val="single" w:sz="4" w:space="0" w:color="auto"/>
            </w:tcBorders>
          </w:tcPr>
          <w:p w14:paraId="4CC3022B" w14:textId="400FC2A8" w:rsidR="00756813" w:rsidRDefault="001A50F6" w:rsidP="00EE087E">
            <w:pPr>
              <w:autoSpaceDE w:val="0"/>
              <w:autoSpaceDN w:val="0"/>
              <w:adjustRightInd w:val="0"/>
              <w:spacing w:before="120" w:after="120" w:line="240" w:lineRule="auto"/>
              <w:rPr>
                <w:rFonts w:ascii="Times New Roman" w:eastAsia="Times New Roman" w:hAnsi="Times New Roman" w:cs="Times New Roman"/>
                <w:sz w:val="24"/>
                <w:szCs w:val="24"/>
              </w:rPr>
            </w:pPr>
            <w:r w:rsidRPr="001A50F6">
              <w:rPr>
                <w:rFonts w:ascii="Times New Roman" w:eastAsia="Times New Roman" w:hAnsi="Times New Roman" w:cs="Times New Roman"/>
                <w:sz w:val="24"/>
                <w:szCs w:val="24"/>
              </w:rPr>
              <w:t xml:space="preserve">2-Cyano-3,3-diphenyl acrylic acid, 2- </w:t>
            </w:r>
            <w:proofErr w:type="spellStart"/>
            <w:r w:rsidRPr="001A50F6">
              <w:rPr>
                <w:rFonts w:ascii="Times New Roman" w:eastAsia="Times New Roman" w:hAnsi="Times New Roman" w:cs="Times New Roman"/>
                <w:sz w:val="24"/>
                <w:szCs w:val="24"/>
              </w:rPr>
              <w:t>ethylhexyl</w:t>
            </w:r>
            <w:proofErr w:type="spellEnd"/>
            <w:r w:rsidRPr="001A50F6">
              <w:rPr>
                <w:rFonts w:ascii="Times New Roman" w:eastAsia="Times New Roman" w:hAnsi="Times New Roman" w:cs="Times New Roman"/>
                <w:sz w:val="24"/>
                <w:szCs w:val="24"/>
              </w:rPr>
              <w:t xml:space="preserve"> ester/ Octocrylene</w:t>
            </w:r>
          </w:p>
          <w:p w14:paraId="38D2BDA8" w14:textId="455413B4" w:rsidR="00756813" w:rsidRPr="00F2194D" w:rsidRDefault="00756813" w:rsidP="00EE087E">
            <w:pPr>
              <w:autoSpaceDE w:val="0"/>
              <w:autoSpaceDN w:val="0"/>
              <w:adjustRightInd w:val="0"/>
              <w:spacing w:before="120" w:after="120" w:line="240" w:lineRule="auto"/>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7C2A7C8" w14:textId="230ED46F" w:rsidR="00756813" w:rsidRPr="00F2194D" w:rsidRDefault="00916761" w:rsidP="00A43155">
            <w:pPr>
              <w:autoSpaceDE w:val="0"/>
              <w:autoSpaceDN w:val="0"/>
              <w:adjustRightInd w:val="0"/>
              <w:spacing w:before="120" w:after="120" w:line="240" w:lineRule="auto"/>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Octocrylene</w:t>
            </w:r>
            <w:r w:rsidR="00A43155">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51AB5DA6" w14:textId="335F24C4" w:rsidR="00756813" w:rsidRPr="00F2194D" w:rsidRDefault="00916761" w:rsidP="00EE087E">
            <w:pPr>
              <w:autoSpaceDE w:val="0"/>
              <w:autoSpaceDN w:val="0"/>
              <w:adjustRightInd w:val="0"/>
              <w:spacing w:before="120" w:after="120" w:line="240" w:lineRule="auto"/>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6197-30-4</w:t>
            </w:r>
          </w:p>
        </w:tc>
        <w:tc>
          <w:tcPr>
            <w:tcW w:w="1125" w:type="dxa"/>
            <w:tcBorders>
              <w:top w:val="single" w:sz="4" w:space="0" w:color="auto"/>
              <w:left w:val="single" w:sz="4" w:space="0" w:color="auto"/>
              <w:bottom w:val="single" w:sz="4" w:space="0" w:color="auto"/>
              <w:right w:val="single" w:sz="4" w:space="0" w:color="auto"/>
            </w:tcBorders>
          </w:tcPr>
          <w:p w14:paraId="363499C6" w14:textId="2F32BF26" w:rsidR="00756813" w:rsidRPr="00F2194D" w:rsidRDefault="00916761"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228-250-8</w:t>
            </w:r>
          </w:p>
        </w:tc>
        <w:tc>
          <w:tcPr>
            <w:tcW w:w="1849" w:type="dxa"/>
            <w:tcBorders>
              <w:top w:val="single" w:sz="4" w:space="0" w:color="auto"/>
              <w:left w:val="single" w:sz="4" w:space="0" w:color="auto"/>
              <w:bottom w:val="single" w:sz="4" w:space="0" w:color="auto"/>
              <w:right w:val="single" w:sz="4" w:space="0" w:color="auto"/>
            </w:tcBorders>
          </w:tcPr>
          <w:p w14:paraId="10D6D652" w14:textId="77777777" w:rsidR="00EC47CC" w:rsidRPr="00E21D46" w:rsidRDefault="00EC47CC" w:rsidP="00EC47CC">
            <w:pPr>
              <w:pStyle w:val="ListParagraph"/>
              <w:numPr>
                <w:ilvl w:val="0"/>
                <w:numId w:val="9"/>
              </w:numPr>
              <w:spacing w:after="200" w:line="276" w:lineRule="auto"/>
              <w:ind w:left="318" w:hanging="284"/>
              <w:rPr>
                <w:rFonts w:ascii="Times New Roman" w:hAnsi="Times New Roman"/>
              </w:rPr>
            </w:pPr>
            <w:r w:rsidRPr="00E21D46">
              <w:rPr>
                <w:rFonts w:ascii="Times New Roman" w:hAnsi="Times New Roman"/>
              </w:rPr>
              <w:t xml:space="preserve">Body propellant spray products </w:t>
            </w:r>
          </w:p>
          <w:p w14:paraId="1CE8CE39" w14:textId="77777777" w:rsidR="00EC47CC" w:rsidRPr="00E21D46" w:rsidRDefault="00EC47CC" w:rsidP="00EC47CC">
            <w:pPr>
              <w:pStyle w:val="ListParagraph"/>
              <w:ind w:left="318"/>
              <w:rPr>
                <w:rFonts w:ascii="Times New Roman" w:hAnsi="Times New Roman"/>
              </w:rPr>
            </w:pPr>
          </w:p>
          <w:p w14:paraId="232E508F" w14:textId="57134A26" w:rsidR="00756813" w:rsidRPr="001A50F6" w:rsidRDefault="00EC47CC" w:rsidP="00EC47CC">
            <w:pPr>
              <w:autoSpaceDE w:val="0"/>
              <w:autoSpaceDN w:val="0"/>
              <w:adjustRightInd w:val="0"/>
              <w:spacing w:before="120" w:after="120" w:line="240" w:lineRule="auto"/>
              <w:rPr>
                <w:rFonts w:ascii="Times New Roman" w:eastAsia="Times New Roman" w:hAnsi="Times New Roman" w:cs="Times New Roman"/>
                <w:sz w:val="24"/>
                <w:szCs w:val="24"/>
              </w:rPr>
            </w:pPr>
            <w:r>
              <w:rPr>
                <w:rFonts w:ascii="Times New Roman" w:hAnsi="Times New Roman"/>
              </w:rPr>
              <w:t xml:space="preserve">b) </w:t>
            </w:r>
            <w:proofErr w:type="gramStart"/>
            <w:r w:rsidRPr="00E21D46">
              <w:rPr>
                <w:rFonts w:ascii="Times New Roman" w:hAnsi="Times New Roman"/>
              </w:rPr>
              <w:t>Other</w:t>
            </w:r>
            <w:proofErr w:type="gramEnd"/>
            <w:r w:rsidRPr="00E21D46">
              <w:rPr>
                <w:rFonts w:ascii="Times New Roman" w:hAnsi="Times New Roman"/>
              </w:rPr>
              <w:t xml:space="preserve"> </w:t>
            </w:r>
            <w:r>
              <w:rPr>
                <w:rFonts w:ascii="Times New Roman" w:hAnsi="Times New Roman"/>
              </w:rPr>
              <w:t>p</w:t>
            </w:r>
            <w:r w:rsidRPr="00E21D46">
              <w:rPr>
                <w:rFonts w:ascii="Times New Roman" w:hAnsi="Times New Roman"/>
              </w:rPr>
              <w:t>roducts</w:t>
            </w:r>
          </w:p>
        </w:tc>
        <w:tc>
          <w:tcPr>
            <w:tcW w:w="1701" w:type="dxa"/>
            <w:tcBorders>
              <w:top w:val="single" w:sz="4" w:space="0" w:color="auto"/>
              <w:left w:val="single" w:sz="4" w:space="0" w:color="auto"/>
              <w:bottom w:val="single" w:sz="4" w:space="0" w:color="auto"/>
              <w:right w:val="single" w:sz="4" w:space="0" w:color="auto"/>
            </w:tcBorders>
          </w:tcPr>
          <w:p w14:paraId="62CF35D2" w14:textId="77777777" w:rsidR="00F67968" w:rsidRPr="00E21D46" w:rsidRDefault="00F67968" w:rsidP="00F67968">
            <w:pPr>
              <w:pStyle w:val="ListParagraph"/>
              <w:numPr>
                <w:ilvl w:val="0"/>
                <w:numId w:val="10"/>
              </w:numPr>
              <w:spacing w:after="200" w:line="276" w:lineRule="auto"/>
              <w:ind w:left="312" w:hanging="283"/>
              <w:rPr>
                <w:rFonts w:ascii="Times New Roman" w:hAnsi="Times New Roman"/>
              </w:rPr>
            </w:pPr>
            <w:r w:rsidRPr="00E21D46">
              <w:rPr>
                <w:rFonts w:ascii="Times New Roman" w:hAnsi="Times New Roman"/>
              </w:rPr>
              <w:t>9 % (as acid)</w:t>
            </w:r>
          </w:p>
          <w:p w14:paraId="425096BA" w14:textId="77777777" w:rsidR="00F67968" w:rsidRPr="00E21D46" w:rsidRDefault="00F67968" w:rsidP="00F67968">
            <w:pPr>
              <w:pStyle w:val="ListParagraph"/>
              <w:ind w:left="312"/>
              <w:rPr>
                <w:rFonts w:ascii="Times New Roman" w:hAnsi="Times New Roman"/>
              </w:rPr>
            </w:pPr>
          </w:p>
          <w:p w14:paraId="28B32474" w14:textId="77777777" w:rsidR="00F67968" w:rsidRPr="00E21D46" w:rsidRDefault="00F67968" w:rsidP="00F67968">
            <w:pPr>
              <w:pStyle w:val="ListParagraph"/>
              <w:ind w:left="312"/>
              <w:rPr>
                <w:rFonts w:ascii="Times New Roman" w:hAnsi="Times New Roman"/>
              </w:rPr>
            </w:pPr>
          </w:p>
          <w:p w14:paraId="4D7479A4" w14:textId="77777777" w:rsidR="008566A7" w:rsidRDefault="008566A7" w:rsidP="00F67968">
            <w:pPr>
              <w:autoSpaceDE w:val="0"/>
              <w:autoSpaceDN w:val="0"/>
              <w:adjustRightInd w:val="0"/>
              <w:spacing w:before="120" w:after="120" w:line="240" w:lineRule="auto"/>
              <w:rPr>
                <w:rFonts w:ascii="Times New Roman" w:hAnsi="Times New Roman"/>
              </w:rPr>
            </w:pPr>
          </w:p>
          <w:p w14:paraId="0D117802" w14:textId="4D338B51" w:rsidR="00756813" w:rsidRPr="004B5F2E" w:rsidRDefault="00F67968" w:rsidP="00F67968">
            <w:pPr>
              <w:autoSpaceDE w:val="0"/>
              <w:autoSpaceDN w:val="0"/>
              <w:adjustRightInd w:val="0"/>
              <w:spacing w:before="120" w:after="120" w:line="240" w:lineRule="auto"/>
              <w:rPr>
                <w:rFonts w:ascii="Times New Roman" w:eastAsia="Times New Roman" w:hAnsi="Times New Roman" w:cs="Times New Roman"/>
                <w:sz w:val="24"/>
                <w:szCs w:val="24"/>
              </w:rPr>
            </w:pPr>
            <w:r>
              <w:rPr>
                <w:rFonts w:ascii="Times New Roman" w:hAnsi="Times New Roman"/>
              </w:rPr>
              <w:t xml:space="preserve">b) </w:t>
            </w:r>
            <w:r w:rsidRPr="00E21D46">
              <w:rPr>
                <w:rFonts w:ascii="Times New Roman" w:hAnsi="Times New Roman"/>
              </w:rPr>
              <w:t>10% (as acid)</w:t>
            </w:r>
          </w:p>
        </w:tc>
        <w:tc>
          <w:tcPr>
            <w:tcW w:w="984" w:type="dxa"/>
            <w:tcBorders>
              <w:top w:val="single" w:sz="4" w:space="0" w:color="auto"/>
              <w:left w:val="single" w:sz="4" w:space="0" w:color="auto"/>
              <w:bottom w:val="single" w:sz="4" w:space="0" w:color="auto"/>
              <w:right w:val="single" w:sz="4" w:space="0" w:color="auto"/>
            </w:tcBorders>
          </w:tcPr>
          <w:p w14:paraId="72359581" w14:textId="77777777" w:rsidR="00756813" w:rsidRPr="007142EB" w:rsidRDefault="00756813" w:rsidP="00EE087E">
            <w:pPr>
              <w:autoSpaceDE w:val="0"/>
              <w:autoSpaceDN w:val="0"/>
              <w:adjustRightInd w:val="0"/>
              <w:spacing w:before="120" w:after="120" w:line="240" w:lineRule="auto"/>
              <w:rPr>
                <w:rFonts w:ascii="Times New Roman" w:eastAsia="Times New Roman" w:hAnsi="Times New Roman" w:cs="Times New Roman"/>
                <w:sz w:val="24"/>
                <w:szCs w:val="24"/>
                <w:highlight w:val="yellow"/>
              </w:rPr>
            </w:pPr>
          </w:p>
        </w:tc>
        <w:tc>
          <w:tcPr>
            <w:tcW w:w="1237" w:type="dxa"/>
            <w:tcBorders>
              <w:top w:val="single" w:sz="4" w:space="0" w:color="auto"/>
              <w:left w:val="single" w:sz="4" w:space="0" w:color="auto"/>
              <w:bottom w:val="single" w:sz="4" w:space="0" w:color="auto"/>
              <w:right w:val="single" w:sz="4" w:space="0" w:color="auto"/>
            </w:tcBorders>
          </w:tcPr>
          <w:p w14:paraId="0CB55939" w14:textId="696EF588" w:rsidR="00756813" w:rsidRPr="007142EB" w:rsidRDefault="00756813" w:rsidP="00EE087E">
            <w:pPr>
              <w:autoSpaceDE w:val="0"/>
              <w:autoSpaceDN w:val="0"/>
              <w:adjustRightInd w:val="0"/>
              <w:spacing w:before="120" w:after="120" w:line="240" w:lineRule="auto"/>
              <w:rPr>
                <w:rFonts w:ascii="Times New Roman" w:eastAsia="Times New Roman" w:hAnsi="Times New Roman" w:cs="Times New Roman"/>
                <w:sz w:val="24"/>
                <w:szCs w:val="24"/>
                <w:highlight w:val="yellow"/>
              </w:rPr>
            </w:pPr>
          </w:p>
        </w:tc>
      </w:tr>
    </w:tbl>
    <w:p w14:paraId="5C428D51" w14:textId="77777777" w:rsidR="00756813" w:rsidRDefault="00756813" w:rsidP="00756813">
      <w:pPr>
        <w:pStyle w:val="ListParagraph"/>
        <w:spacing w:after="120"/>
        <w:jc w:val="both"/>
        <w:rPr>
          <w:rFonts w:ascii="Times New Roman" w:hAnsi="Times New Roman" w:cs="Times New Roman"/>
          <w:sz w:val="24"/>
        </w:rPr>
      </w:pPr>
    </w:p>
    <w:p w14:paraId="348FAB72" w14:textId="5CF0CF4A" w:rsidR="00D0154A" w:rsidRDefault="00D0154A">
      <w:r>
        <w:br w:type="page"/>
      </w:r>
    </w:p>
    <w:p w14:paraId="35E424E9" w14:textId="3CDAF657" w:rsidR="00D0154A" w:rsidRPr="00926FB1" w:rsidRDefault="00D0154A" w:rsidP="00D0154A">
      <w:pPr>
        <w:pStyle w:val="ListParagraph"/>
        <w:numPr>
          <w:ilvl w:val="0"/>
          <w:numId w:val="4"/>
        </w:numPr>
        <w:spacing w:after="120" w:line="276" w:lineRule="auto"/>
        <w:jc w:val="both"/>
        <w:rPr>
          <w:rFonts w:ascii="Times New Roman" w:hAnsi="Times New Roman" w:cs="Times New Roman"/>
          <w:sz w:val="24"/>
        </w:rPr>
      </w:pPr>
      <w:r>
        <w:rPr>
          <w:rFonts w:ascii="Times New Roman" w:hAnsi="Times New Roman" w:cs="Times New Roman"/>
          <w:sz w:val="24"/>
        </w:rPr>
        <w:lastRenderedPageBreak/>
        <w:t>Entry in Annex VI</w:t>
      </w:r>
      <w:r w:rsidRPr="00C73A44">
        <w:rPr>
          <w:rFonts w:ascii="Times New Roman" w:hAnsi="Times New Roman" w:cs="Times New Roman"/>
          <w:sz w:val="24"/>
        </w:rPr>
        <w:t>:</w:t>
      </w:r>
      <w:r>
        <w:rPr>
          <w:rFonts w:ascii="Times New Roman" w:hAnsi="Times New Roman" w:cs="Times New Roman"/>
          <w:sz w:val="24"/>
        </w:rPr>
        <w:t xml:space="preserve"> </w:t>
      </w:r>
      <w:r w:rsidR="004911FE" w:rsidRPr="004911FE">
        <w:rPr>
          <w:rFonts w:ascii="Times New Roman" w:hAnsi="Times New Roman" w:cs="Times New Roman"/>
          <w:sz w:val="24"/>
          <w:lang w:val="en-BE"/>
        </w:rPr>
        <w:t xml:space="preserve">EU </w:t>
      </w:r>
      <w:proofErr w:type="gramStart"/>
      <w:r w:rsidR="004911FE" w:rsidRPr="004911FE">
        <w:rPr>
          <w:rFonts w:ascii="Times New Roman" w:hAnsi="Times New Roman" w:cs="Times New Roman"/>
          <w:sz w:val="24"/>
          <w:lang w:val="en-BE"/>
        </w:rPr>
        <w:t>COM’s</w:t>
      </w:r>
      <w:proofErr w:type="gramEnd"/>
      <w:r w:rsidR="004911FE" w:rsidRPr="004911FE">
        <w:rPr>
          <w:rFonts w:ascii="Times New Roman" w:hAnsi="Times New Roman" w:cs="Times New Roman"/>
          <w:sz w:val="24"/>
          <w:lang w:val="en-BE"/>
        </w:rPr>
        <w:t xml:space="preserve"> proposed final (closed to further comments) regulatory entry</w:t>
      </w:r>
    </w:p>
    <w:tbl>
      <w:tblPr>
        <w:tblW w:w="14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991"/>
        <w:gridCol w:w="2552"/>
        <w:gridCol w:w="1559"/>
        <w:gridCol w:w="1125"/>
        <w:gridCol w:w="1849"/>
        <w:gridCol w:w="1701"/>
        <w:gridCol w:w="984"/>
        <w:gridCol w:w="1237"/>
      </w:tblGrid>
      <w:tr w:rsidR="00D0154A" w:rsidRPr="00F2194D" w14:paraId="3A81815B" w14:textId="77777777" w:rsidTr="006073F6">
        <w:trPr>
          <w:trHeight w:val="300"/>
          <w:jc w:val="center"/>
        </w:trPr>
        <w:tc>
          <w:tcPr>
            <w:tcW w:w="1267" w:type="dxa"/>
            <w:vMerge w:val="restart"/>
            <w:tcBorders>
              <w:top w:val="single" w:sz="4" w:space="0" w:color="auto"/>
              <w:left w:val="single" w:sz="4" w:space="0" w:color="auto"/>
              <w:right w:val="single" w:sz="4" w:space="0" w:color="auto"/>
            </w:tcBorders>
            <w:noWrap/>
            <w:hideMark/>
          </w:tcPr>
          <w:p w14:paraId="0C68D5A4" w14:textId="77777777" w:rsidR="00D0154A" w:rsidRPr="00F2194D" w:rsidRDefault="00D0154A" w:rsidP="006073F6">
            <w:pPr>
              <w:autoSpaceDE w:val="0"/>
              <w:autoSpaceDN w:val="0"/>
              <w:adjustRightInd w:val="0"/>
              <w:spacing w:before="120" w:after="120" w:line="240" w:lineRule="auto"/>
              <w:jc w:val="both"/>
              <w:rPr>
                <w:rFonts w:ascii="Times New Roman" w:eastAsia="Times New Roman" w:hAnsi="Times New Roman" w:cs="Times New Roman"/>
                <w:sz w:val="24"/>
                <w:szCs w:val="24"/>
              </w:rPr>
            </w:pPr>
          </w:p>
          <w:p w14:paraId="2CD8A3A2"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Reference number</w:t>
            </w:r>
          </w:p>
        </w:tc>
        <w:tc>
          <w:tcPr>
            <w:tcW w:w="7227" w:type="dxa"/>
            <w:gridSpan w:val="4"/>
            <w:tcBorders>
              <w:top w:val="single" w:sz="4" w:space="0" w:color="auto"/>
              <w:left w:val="single" w:sz="4" w:space="0" w:color="auto"/>
              <w:bottom w:val="single" w:sz="4" w:space="0" w:color="auto"/>
              <w:right w:val="single" w:sz="4" w:space="0" w:color="auto"/>
            </w:tcBorders>
            <w:noWrap/>
            <w:hideMark/>
          </w:tcPr>
          <w:p w14:paraId="0E0A5A64"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Substance Identification</w:t>
            </w:r>
          </w:p>
        </w:tc>
        <w:tc>
          <w:tcPr>
            <w:tcW w:w="4534" w:type="dxa"/>
            <w:gridSpan w:val="3"/>
            <w:tcBorders>
              <w:top w:val="single" w:sz="4" w:space="0" w:color="auto"/>
              <w:left w:val="single" w:sz="4" w:space="0" w:color="auto"/>
              <w:bottom w:val="single" w:sz="4" w:space="0" w:color="auto"/>
              <w:right w:val="single" w:sz="4" w:space="0" w:color="auto"/>
            </w:tcBorders>
            <w:noWrap/>
            <w:hideMark/>
          </w:tcPr>
          <w:p w14:paraId="3E3A6E51"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Conditions</w:t>
            </w:r>
          </w:p>
        </w:tc>
        <w:tc>
          <w:tcPr>
            <w:tcW w:w="1237" w:type="dxa"/>
            <w:tcBorders>
              <w:top w:val="single" w:sz="4" w:space="0" w:color="auto"/>
              <w:left w:val="single" w:sz="4" w:space="0" w:color="auto"/>
              <w:bottom w:val="single" w:sz="4" w:space="0" w:color="auto"/>
              <w:right w:val="single" w:sz="4" w:space="0" w:color="auto"/>
            </w:tcBorders>
            <w:noWrap/>
            <w:hideMark/>
          </w:tcPr>
          <w:p w14:paraId="62A6F7E9"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Wording of conditions of use and warnings</w:t>
            </w:r>
          </w:p>
        </w:tc>
      </w:tr>
      <w:tr w:rsidR="00D0154A" w:rsidRPr="00F2194D" w14:paraId="7807D137" w14:textId="77777777" w:rsidTr="006073F6">
        <w:trPr>
          <w:trHeight w:val="1539"/>
          <w:jc w:val="center"/>
        </w:trPr>
        <w:tc>
          <w:tcPr>
            <w:tcW w:w="1267" w:type="dxa"/>
            <w:vMerge/>
            <w:tcBorders>
              <w:left w:val="single" w:sz="4" w:space="0" w:color="auto"/>
              <w:bottom w:val="single" w:sz="4" w:space="0" w:color="auto"/>
              <w:right w:val="single" w:sz="4" w:space="0" w:color="auto"/>
            </w:tcBorders>
            <w:hideMark/>
          </w:tcPr>
          <w:p w14:paraId="154C667D"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14:paraId="2F048880"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Chemical name/INN</w:t>
            </w:r>
          </w:p>
        </w:tc>
        <w:tc>
          <w:tcPr>
            <w:tcW w:w="2552" w:type="dxa"/>
            <w:tcBorders>
              <w:top w:val="single" w:sz="4" w:space="0" w:color="auto"/>
              <w:left w:val="single" w:sz="4" w:space="0" w:color="auto"/>
              <w:bottom w:val="single" w:sz="4" w:space="0" w:color="auto"/>
              <w:right w:val="single" w:sz="4" w:space="0" w:color="auto"/>
            </w:tcBorders>
            <w:hideMark/>
          </w:tcPr>
          <w:p w14:paraId="5BF56E17"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Name of Common Ingredients Glossary</w:t>
            </w:r>
          </w:p>
        </w:tc>
        <w:tc>
          <w:tcPr>
            <w:tcW w:w="1559" w:type="dxa"/>
            <w:tcBorders>
              <w:top w:val="single" w:sz="4" w:space="0" w:color="auto"/>
              <w:left w:val="single" w:sz="4" w:space="0" w:color="auto"/>
              <w:bottom w:val="single" w:sz="4" w:space="0" w:color="auto"/>
              <w:right w:val="single" w:sz="4" w:space="0" w:color="auto"/>
            </w:tcBorders>
            <w:hideMark/>
          </w:tcPr>
          <w:p w14:paraId="718D4F28"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CAS number</w:t>
            </w:r>
          </w:p>
        </w:tc>
        <w:tc>
          <w:tcPr>
            <w:tcW w:w="1125" w:type="dxa"/>
            <w:tcBorders>
              <w:top w:val="single" w:sz="4" w:space="0" w:color="auto"/>
              <w:left w:val="single" w:sz="4" w:space="0" w:color="auto"/>
              <w:bottom w:val="single" w:sz="4" w:space="0" w:color="auto"/>
              <w:right w:val="single" w:sz="4" w:space="0" w:color="auto"/>
            </w:tcBorders>
            <w:hideMark/>
          </w:tcPr>
          <w:p w14:paraId="55229376"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EC number</w:t>
            </w:r>
          </w:p>
        </w:tc>
        <w:tc>
          <w:tcPr>
            <w:tcW w:w="1849" w:type="dxa"/>
            <w:tcBorders>
              <w:top w:val="single" w:sz="4" w:space="0" w:color="auto"/>
              <w:left w:val="single" w:sz="4" w:space="0" w:color="auto"/>
              <w:bottom w:val="single" w:sz="4" w:space="0" w:color="auto"/>
              <w:right w:val="single" w:sz="4" w:space="0" w:color="auto"/>
            </w:tcBorders>
            <w:hideMark/>
          </w:tcPr>
          <w:p w14:paraId="2A7FFF4B"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Product type, Body parts</w:t>
            </w:r>
          </w:p>
        </w:tc>
        <w:tc>
          <w:tcPr>
            <w:tcW w:w="1701" w:type="dxa"/>
            <w:tcBorders>
              <w:top w:val="single" w:sz="4" w:space="0" w:color="auto"/>
              <w:left w:val="single" w:sz="4" w:space="0" w:color="auto"/>
              <w:bottom w:val="single" w:sz="4" w:space="0" w:color="auto"/>
              <w:right w:val="single" w:sz="4" w:space="0" w:color="auto"/>
            </w:tcBorders>
            <w:hideMark/>
          </w:tcPr>
          <w:p w14:paraId="0B71A988"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Maximum concentration in ready for use preparation</w:t>
            </w:r>
          </w:p>
        </w:tc>
        <w:tc>
          <w:tcPr>
            <w:tcW w:w="984" w:type="dxa"/>
            <w:tcBorders>
              <w:top w:val="single" w:sz="4" w:space="0" w:color="auto"/>
              <w:left w:val="single" w:sz="4" w:space="0" w:color="auto"/>
              <w:bottom w:val="single" w:sz="4" w:space="0" w:color="auto"/>
              <w:right w:val="single" w:sz="4" w:space="0" w:color="auto"/>
            </w:tcBorders>
            <w:hideMark/>
          </w:tcPr>
          <w:p w14:paraId="22816C3F"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Other</w:t>
            </w:r>
          </w:p>
        </w:tc>
        <w:tc>
          <w:tcPr>
            <w:tcW w:w="1237" w:type="dxa"/>
            <w:tcBorders>
              <w:top w:val="single" w:sz="4" w:space="0" w:color="auto"/>
              <w:left w:val="single" w:sz="4" w:space="0" w:color="auto"/>
              <w:bottom w:val="single" w:sz="4" w:space="0" w:color="auto"/>
              <w:right w:val="single" w:sz="4" w:space="0" w:color="auto"/>
            </w:tcBorders>
            <w:hideMark/>
          </w:tcPr>
          <w:p w14:paraId="5A227C4F"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p>
        </w:tc>
      </w:tr>
      <w:tr w:rsidR="00D0154A" w:rsidRPr="00F2194D" w14:paraId="7F1E6EBF" w14:textId="77777777" w:rsidTr="006073F6">
        <w:trPr>
          <w:trHeight w:val="300"/>
          <w:jc w:val="center"/>
        </w:trPr>
        <w:tc>
          <w:tcPr>
            <w:tcW w:w="1267" w:type="dxa"/>
            <w:tcBorders>
              <w:top w:val="single" w:sz="4" w:space="0" w:color="auto"/>
              <w:left w:val="single" w:sz="4" w:space="0" w:color="auto"/>
              <w:bottom w:val="single" w:sz="4" w:space="0" w:color="auto"/>
              <w:right w:val="single" w:sz="4" w:space="0" w:color="auto"/>
            </w:tcBorders>
            <w:hideMark/>
          </w:tcPr>
          <w:p w14:paraId="5EF2281C"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a</w:t>
            </w:r>
          </w:p>
        </w:tc>
        <w:tc>
          <w:tcPr>
            <w:tcW w:w="1991" w:type="dxa"/>
            <w:tcBorders>
              <w:top w:val="single" w:sz="4" w:space="0" w:color="auto"/>
              <w:left w:val="single" w:sz="4" w:space="0" w:color="auto"/>
              <w:bottom w:val="single" w:sz="4" w:space="0" w:color="auto"/>
              <w:right w:val="single" w:sz="4" w:space="0" w:color="auto"/>
            </w:tcBorders>
            <w:hideMark/>
          </w:tcPr>
          <w:p w14:paraId="0AF9A134"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b</w:t>
            </w:r>
          </w:p>
        </w:tc>
        <w:tc>
          <w:tcPr>
            <w:tcW w:w="2552" w:type="dxa"/>
            <w:tcBorders>
              <w:top w:val="single" w:sz="4" w:space="0" w:color="auto"/>
              <w:left w:val="single" w:sz="4" w:space="0" w:color="auto"/>
              <w:bottom w:val="single" w:sz="4" w:space="0" w:color="auto"/>
              <w:right w:val="single" w:sz="4" w:space="0" w:color="auto"/>
            </w:tcBorders>
            <w:hideMark/>
          </w:tcPr>
          <w:p w14:paraId="25A9F201"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59" w:type="dxa"/>
            <w:tcBorders>
              <w:top w:val="single" w:sz="4" w:space="0" w:color="auto"/>
              <w:left w:val="single" w:sz="4" w:space="0" w:color="auto"/>
              <w:bottom w:val="single" w:sz="4" w:space="0" w:color="auto"/>
              <w:right w:val="single" w:sz="4" w:space="0" w:color="auto"/>
            </w:tcBorders>
            <w:hideMark/>
          </w:tcPr>
          <w:p w14:paraId="03B5C6FD"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125" w:type="dxa"/>
            <w:tcBorders>
              <w:top w:val="single" w:sz="4" w:space="0" w:color="auto"/>
              <w:left w:val="single" w:sz="4" w:space="0" w:color="auto"/>
              <w:bottom w:val="single" w:sz="4" w:space="0" w:color="auto"/>
              <w:right w:val="single" w:sz="4" w:space="0" w:color="auto"/>
            </w:tcBorders>
            <w:hideMark/>
          </w:tcPr>
          <w:p w14:paraId="6F9F9B58"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e</w:t>
            </w:r>
          </w:p>
        </w:tc>
        <w:tc>
          <w:tcPr>
            <w:tcW w:w="1849" w:type="dxa"/>
            <w:tcBorders>
              <w:top w:val="single" w:sz="4" w:space="0" w:color="auto"/>
              <w:left w:val="single" w:sz="4" w:space="0" w:color="auto"/>
              <w:bottom w:val="single" w:sz="4" w:space="0" w:color="auto"/>
              <w:right w:val="single" w:sz="4" w:space="0" w:color="auto"/>
            </w:tcBorders>
            <w:hideMark/>
          </w:tcPr>
          <w:p w14:paraId="59176B17"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f</w:t>
            </w:r>
          </w:p>
        </w:tc>
        <w:tc>
          <w:tcPr>
            <w:tcW w:w="1701" w:type="dxa"/>
            <w:tcBorders>
              <w:top w:val="single" w:sz="4" w:space="0" w:color="auto"/>
              <w:left w:val="single" w:sz="4" w:space="0" w:color="auto"/>
              <w:bottom w:val="single" w:sz="4" w:space="0" w:color="auto"/>
              <w:right w:val="single" w:sz="4" w:space="0" w:color="auto"/>
            </w:tcBorders>
            <w:hideMark/>
          </w:tcPr>
          <w:p w14:paraId="72742F63"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g</w:t>
            </w:r>
          </w:p>
        </w:tc>
        <w:tc>
          <w:tcPr>
            <w:tcW w:w="984" w:type="dxa"/>
            <w:tcBorders>
              <w:top w:val="single" w:sz="4" w:space="0" w:color="auto"/>
              <w:left w:val="single" w:sz="4" w:space="0" w:color="auto"/>
              <w:bottom w:val="single" w:sz="4" w:space="0" w:color="auto"/>
              <w:right w:val="single" w:sz="4" w:space="0" w:color="auto"/>
            </w:tcBorders>
            <w:hideMark/>
          </w:tcPr>
          <w:p w14:paraId="6E4AE797"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h</w:t>
            </w:r>
          </w:p>
        </w:tc>
        <w:tc>
          <w:tcPr>
            <w:tcW w:w="1237" w:type="dxa"/>
            <w:tcBorders>
              <w:top w:val="single" w:sz="4" w:space="0" w:color="auto"/>
              <w:left w:val="single" w:sz="4" w:space="0" w:color="auto"/>
              <w:bottom w:val="single" w:sz="4" w:space="0" w:color="auto"/>
              <w:right w:val="single" w:sz="4" w:space="0" w:color="auto"/>
            </w:tcBorders>
            <w:hideMark/>
          </w:tcPr>
          <w:p w14:paraId="4AA38B29"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proofErr w:type="spellStart"/>
            <w:r w:rsidRPr="00F2194D">
              <w:rPr>
                <w:rFonts w:ascii="Times New Roman" w:eastAsia="Times New Roman" w:hAnsi="Times New Roman" w:cs="Times New Roman"/>
                <w:sz w:val="24"/>
                <w:szCs w:val="24"/>
              </w:rPr>
              <w:t>i</w:t>
            </w:r>
            <w:proofErr w:type="spellEnd"/>
          </w:p>
        </w:tc>
      </w:tr>
      <w:tr w:rsidR="00D0154A" w:rsidRPr="00F2194D" w14:paraId="4A7C0133" w14:textId="77777777" w:rsidTr="006073F6">
        <w:trPr>
          <w:trHeight w:val="300"/>
          <w:jc w:val="center"/>
        </w:trPr>
        <w:tc>
          <w:tcPr>
            <w:tcW w:w="1267" w:type="dxa"/>
            <w:tcBorders>
              <w:top w:val="single" w:sz="4" w:space="0" w:color="auto"/>
              <w:left w:val="single" w:sz="4" w:space="0" w:color="auto"/>
              <w:bottom w:val="single" w:sz="4" w:space="0" w:color="auto"/>
              <w:right w:val="single" w:sz="4" w:space="0" w:color="auto"/>
            </w:tcBorders>
          </w:tcPr>
          <w:p w14:paraId="4D8B80D5"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1A1265">
              <w:rPr>
                <w:rFonts w:ascii="Times New Roman" w:eastAsia="Times New Roman" w:hAnsi="Times New Roman" w:cs="Times New Roman"/>
                <w:i/>
                <w:sz w:val="24"/>
                <w:szCs w:val="24"/>
              </w:rPr>
              <w:t>x</w:t>
            </w:r>
          </w:p>
        </w:tc>
        <w:tc>
          <w:tcPr>
            <w:tcW w:w="1991" w:type="dxa"/>
            <w:tcBorders>
              <w:top w:val="single" w:sz="4" w:space="0" w:color="auto"/>
              <w:left w:val="single" w:sz="4" w:space="0" w:color="auto"/>
              <w:bottom w:val="single" w:sz="4" w:space="0" w:color="auto"/>
              <w:right w:val="single" w:sz="4" w:space="0" w:color="auto"/>
            </w:tcBorders>
          </w:tcPr>
          <w:p w14:paraId="7BDA577F" w14:textId="23C89C45" w:rsidR="00D0154A" w:rsidRPr="006B107C"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lang w:val="en-BE"/>
              </w:rPr>
            </w:pPr>
            <w:r w:rsidRPr="001A50F6">
              <w:rPr>
                <w:rFonts w:ascii="Times New Roman" w:eastAsia="Times New Roman" w:hAnsi="Times New Roman" w:cs="Times New Roman"/>
                <w:sz w:val="24"/>
                <w:szCs w:val="24"/>
              </w:rPr>
              <w:t xml:space="preserve">2-Cyano-3,3-diphenyl acrylic acid, 2- </w:t>
            </w:r>
            <w:proofErr w:type="spellStart"/>
            <w:r w:rsidRPr="001A50F6">
              <w:rPr>
                <w:rFonts w:ascii="Times New Roman" w:eastAsia="Times New Roman" w:hAnsi="Times New Roman" w:cs="Times New Roman"/>
                <w:sz w:val="24"/>
                <w:szCs w:val="24"/>
              </w:rPr>
              <w:t>ethylhexyl</w:t>
            </w:r>
            <w:proofErr w:type="spellEnd"/>
            <w:r w:rsidRPr="001A50F6">
              <w:rPr>
                <w:rFonts w:ascii="Times New Roman" w:eastAsia="Times New Roman" w:hAnsi="Times New Roman" w:cs="Times New Roman"/>
                <w:sz w:val="24"/>
                <w:szCs w:val="24"/>
              </w:rPr>
              <w:t xml:space="preserve"> ester/ Octocrylene</w:t>
            </w:r>
            <w:r w:rsidR="006B107C">
              <w:rPr>
                <w:rFonts w:ascii="Times New Roman" w:eastAsia="Times New Roman" w:hAnsi="Times New Roman" w:cs="Times New Roman"/>
                <w:sz w:val="24"/>
                <w:szCs w:val="24"/>
                <w:lang w:val="en-BE"/>
              </w:rPr>
              <w:t>*</w:t>
            </w:r>
          </w:p>
          <w:p w14:paraId="025BA777" w14:textId="77777777" w:rsidR="00D0154A" w:rsidRPr="00F2194D"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1342B51" w14:textId="77777777" w:rsidR="00D0154A" w:rsidRPr="00F2194D"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Octocrylene</w:t>
            </w:r>
            <w:r>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196E86EA" w14:textId="77777777" w:rsidR="00D0154A" w:rsidRPr="00F2194D"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6197-30-4</w:t>
            </w:r>
          </w:p>
        </w:tc>
        <w:tc>
          <w:tcPr>
            <w:tcW w:w="1125" w:type="dxa"/>
            <w:tcBorders>
              <w:top w:val="single" w:sz="4" w:space="0" w:color="auto"/>
              <w:left w:val="single" w:sz="4" w:space="0" w:color="auto"/>
              <w:bottom w:val="single" w:sz="4" w:space="0" w:color="auto"/>
              <w:right w:val="single" w:sz="4" w:space="0" w:color="auto"/>
            </w:tcBorders>
          </w:tcPr>
          <w:p w14:paraId="403A8A3C"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228-250-8</w:t>
            </w:r>
          </w:p>
        </w:tc>
        <w:tc>
          <w:tcPr>
            <w:tcW w:w="1849" w:type="dxa"/>
            <w:tcBorders>
              <w:top w:val="single" w:sz="4" w:space="0" w:color="auto"/>
              <w:left w:val="single" w:sz="4" w:space="0" w:color="auto"/>
              <w:bottom w:val="single" w:sz="4" w:space="0" w:color="auto"/>
              <w:right w:val="single" w:sz="4" w:space="0" w:color="auto"/>
            </w:tcBorders>
          </w:tcPr>
          <w:p w14:paraId="20D607BA" w14:textId="5AA564D8" w:rsidR="00D0154A" w:rsidRPr="00E21D46" w:rsidRDefault="00D0154A" w:rsidP="006073F6">
            <w:pPr>
              <w:pStyle w:val="ListParagraph"/>
              <w:numPr>
                <w:ilvl w:val="0"/>
                <w:numId w:val="9"/>
              </w:numPr>
              <w:spacing w:after="200" w:line="276" w:lineRule="auto"/>
              <w:ind w:left="318" w:hanging="284"/>
              <w:rPr>
                <w:rFonts w:ascii="Times New Roman" w:hAnsi="Times New Roman"/>
              </w:rPr>
            </w:pPr>
            <w:r w:rsidRPr="00E21D46">
              <w:rPr>
                <w:rFonts w:ascii="Times New Roman" w:hAnsi="Times New Roman"/>
              </w:rPr>
              <w:t xml:space="preserve">propellant spray products </w:t>
            </w:r>
          </w:p>
          <w:p w14:paraId="4DF31B93" w14:textId="77777777" w:rsidR="00D0154A" w:rsidRPr="00E21D46" w:rsidRDefault="00D0154A" w:rsidP="006073F6">
            <w:pPr>
              <w:pStyle w:val="ListParagraph"/>
              <w:ind w:left="318"/>
              <w:rPr>
                <w:rFonts w:ascii="Times New Roman" w:hAnsi="Times New Roman"/>
              </w:rPr>
            </w:pPr>
          </w:p>
          <w:p w14:paraId="0275A84E" w14:textId="77777777" w:rsidR="00D0154A" w:rsidRPr="001A50F6"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rPr>
            </w:pPr>
            <w:r>
              <w:rPr>
                <w:rFonts w:ascii="Times New Roman" w:hAnsi="Times New Roman"/>
              </w:rPr>
              <w:t xml:space="preserve">b) </w:t>
            </w:r>
            <w:proofErr w:type="gramStart"/>
            <w:r w:rsidRPr="00E21D46">
              <w:rPr>
                <w:rFonts w:ascii="Times New Roman" w:hAnsi="Times New Roman"/>
              </w:rPr>
              <w:t>Other</w:t>
            </w:r>
            <w:proofErr w:type="gramEnd"/>
            <w:r w:rsidRPr="00E21D46">
              <w:rPr>
                <w:rFonts w:ascii="Times New Roman" w:hAnsi="Times New Roman"/>
              </w:rPr>
              <w:t xml:space="preserve"> </w:t>
            </w:r>
            <w:r>
              <w:rPr>
                <w:rFonts w:ascii="Times New Roman" w:hAnsi="Times New Roman"/>
              </w:rPr>
              <w:t>p</w:t>
            </w:r>
            <w:r w:rsidRPr="00E21D46">
              <w:rPr>
                <w:rFonts w:ascii="Times New Roman" w:hAnsi="Times New Roman"/>
              </w:rPr>
              <w:t>roducts</w:t>
            </w:r>
          </w:p>
        </w:tc>
        <w:tc>
          <w:tcPr>
            <w:tcW w:w="1701" w:type="dxa"/>
            <w:tcBorders>
              <w:top w:val="single" w:sz="4" w:space="0" w:color="auto"/>
              <w:left w:val="single" w:sz="4" w:space="0" w:color="auto"/>
              <w:bottom w:val="single" w:sz="4" w:space="0" w:color="auto"/>
              <w:right w:val="single" w:sz="4" w:space="0" w:color="auto"/>
            </w:tcBorders>
          </w:tcPr>
          <w:p w14:paraId="76C659E7" w14:textId="161A9826" w:rsidR="00D0154A" w:rsidRPr="00E21D46" w:rsidRDefault="00D0154A" w:rsidP="006073F6">
            <w:pPr>
              <w:pStyle w:val="ListParagraph"/>
              <w:numPr>
                <w:ilvl w:val="0"/>
                <w:numId w:val="10"/>
              </w:numPr>
              <w:spacing w:after="200" w:line="276" w:lineRule="auto"/>
              <w:ind w:left="312" w:hanging="283"/>
              <w:rPr>
                <w:rFonts w:ascii="Times New Roman" w:hAnsi="Times New Roman"/>
              </w:rPr>
            </w:pPr>
            <w:r w:rsidRPr="00E21D46">
              <w:rPr>
                <w:rFonts w:ascii="Times New Roman" w:hAnsi="Times New Roman"/>
              </w:rPr>
              <w:t xml:space="preserve">9 % </w:t>
            </w:r>
          </w:p>
          <w:p w14:paraId="3273DB26" w14:textId="77777777" w:rsidR="00D0154A" w:rsidRPr="00E21D46" w:rsidRDefault="00D0154A" w:rsidP="006073F6">
            <w:pPr>
              <w:pStyle w:val="ListParagraph"/>
              <w:ind w:left="312"/>
              <w:rPr>
                <w:rFonts w:ascii="Times New Roman" w:hAnsi="Times New Roman"/>
              </w:rPr>
            </w:pPr>
          </w:p>
          <w:p w14:paraId="21AAFE53" w14:textId="77777777" w:rsidR="00D0154A" w:rsidRPr="00E21D46" w:rsidRDefault="00D0154A" w:rsidP="006073F6">
            <w:pPr>
              <w:pStyle w:val="ListParagraph"/>
              <w:ind w:left="312"/>
              <w:rPr>
                <w:rFonts w:ascii="Times New Roman" w:hAnsi="Times New Roman"/>
              </w:rPr>
            </w:pPr>
          </w:p>
          <w:p w14:paraId="37EB6E80" w14:textId="77777777" w:rsidR="00D0154A" w:rsidRDefault="00D0154A" w:rsidP="006073F6">
            <w:pPr>
              <w:autoSpaceDE w:val="0"/>
              <w:autoSpaceDN w:val="0"/>
              <w:adjustRightInd w:val="0"/>
              <w:spacing w:before="120" w:after="120" w:line="240" w:lineRule="auto"/>
              <w:rPr>
                <w:rFonts w:ascii="Times New Roman" w:hAnsi="Times New Roman"/>
              </w:rPr>
            </w:pPr>
          </w:p>
          <w:p w14:paraId="5DFAEEC1" w14:textId="154BAFF1" w:rsidR="00D0154A" w:rsidRPr="004B5F2E"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rPr>
            </w:pPr>
            <w:r>
              <w:rPr>
                <w:rFonts w:ascii="Times New Roman" w:hAnsi="Times New Roman"/>
              </w:rPr>
              <w:t xml:space="preserve">b) </w:t>
            </w:r>
            <w:r w:rsidRPr="00E21D46">
              <w:rPr>
                <w:rFonts w:ascii="Times New Roman" w:hAnsi="Times New Roman"/>
              </w:rPr>
              <w:t xml:space="preserve">10% </w:t>
            </w:r>
          </w:p>
        </w:tc>
        <w:tc>
          <w:tcPr>
            <w:tcW w:w="984" w:type="dxa"/>
            <w:tcBorders>
              <w:top w:val="single" w:sz="4" w:space="0" w:color="auto"/>
              <w:left w:val="single" w:sz="4" w:space="0" w:color="auto"/>
              <w:bottom w:val="single" w:sz="4" w:space="0" w:color="auto"/>
              <w:right w:val="single" w:sz="4" w:space="0" w:color="auto"/>
            </w:tcBorders>
          </w:tcPr>
          <w:p w14:paraId="7EA63C2C" w14:textId="77777777" w:rsidR="00D0154A" w:rsidRPr="007142EB"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highlight w:val="yellow"/>
              </w:rPr>
            </w:pPr>
          </w:p>
        </w:tc>
        <w:tc>
          <w:tcPr>
            <w:tcW w:w="1237" w:type="dxa"/>
            <w:tcBorders>
              <w:top w:val="single" w:sz="4" w:space="0" w:color="auto"/>
              <w:left w:val="single" w:sz="4" w:space="0" w:color="auto"/>
              <w:bottom w:val="single" w:sz="4" w:space="0" w:color="auto"/>
              <w:right w:val="single" w:sz="4" w:space="0" w:color="auto"/>
            </w:tcBorders>
          </w:tcPr>
          <w:p w14:paraId="4A5F70ED" w14:textId="77777777" w:rsidR="00D0154A" w:rsidRPr="007142EB"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highlight w:val="yellow"/>
              </w:rPr>
            </w:pPr>
          </w:p>
        </w:tc>
      </w:tr>
    </w:tbl>
    <w:p w14:paraId="1246D7D9" w14:textId="77777777" w:rsidR="00D0154A" w:rsidRDefault="00D0154A" w:rsidP="00D0154A">
      <w:pPr>
        <w:pStyle w:val="ListParagraph"/>
        <w:spacing w:after="120"/>
        <w:jc w:val="both"/>
        <w:rPr>
          <w:rFonts w:ascii="Times New Roman" w:hAnsi="Times New Roman" w:cs="Times New Roman"/>
          <w:sz w:val="24"/>
        </w:rPr>
      </w:pPr>
    </w:p>
    <w:p w14:paraId="42D35CE6" w14:textId="401E1A45" w:rsidR="00D0154A" w:rsidRPr="00726F83" w:rsidRDefault="006B107C" w:rsidP="00D0154A">
      <w:pPr>
        <w:jc w:val="both"/>
        <w:rPr>
          <w:rFonts w:ascii="Times New Roman" w:eastAsia="Times New Roman" w:hAnsi="Times New Roman" w:cs="Times New Roman"/>
          <w:sz w:val="24"/>
          <w:szCs w:val="24"/>
        </w:rPr>
      </w:pPr>
      <w:r w:rsidRPr="00726F83">
        <w:rPr>
          <w:rFonts w:ascii="Times New Roman" w:eastAsia="Times New Roman" w:hAnsi="Times New Roman" w:cs="Times New Roman"/>
          <w:sz w:val="24"/>
          <w:szCs w:val="24"/>
        </w:rPr>
        <w:t>* Benzophenone as an impurity and/or degradation product of Octocrylene shall be kept at trace level.</w:t>
      </w:r>
    </w:p>
    <w:p w14:paraId="1D4D3482" w14:textId="77777777" w:rsidR="00D860C8" w:rsidRPr="001756AC" w:rsidRDefault="00D860C8" w:rsidP="00C36A55">
      <w:pPr>
        <w:jc w:val="both"/>
      </w:pPr>
    </w:p>
    <w:sectPr w:rsidR="00D860C8" w:rsidRPr="001756AC" w:rsidSect="007568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F24E" w14:textId="77777777" w:rsidR="002B23CC" w:rsidRDefault="002B23CC" w:rsidP="00C36A55">
      <w:pPr>
        <w:spacing w:after="0" w:line="240" w:lineRule="auto"/>
      </w:pPr>
      <w:r>
        <w:separator/>
      </w:r>
    </w:p>
  </w:endnote>
  <w:endnote w:type="continuationSeparator" w:id="0">
    <w:p w14:paraId="6DB3ED17" w14:textId="77777777" w:rsidR="002B23CC" w:rsidRDefault="002B23CC" w:rsidP="00C3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516F" w14:textId="77777777" w:rsidR="00290DDA" w:rsidRDefault="0029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BFB7" w14:textId="21D87FF6" w:rsidR="006D7E49" w:rsidRDefault="006D7E49">
    <w:pPr>
      <w:pStyle w:val="Footer"/>
    </w:pPr>
    <w:r>
      <w:rPr>
        <w:noProof/>
        <w:lang w:val="fr-FR" w:eastAsia="zh-CN"/>
      </w:rPr>
      <mc:AlternateContent>
        <mc:Choice Requires="wps">
          <w:drawing>
            <wp:anchor distT="0" distB="0" distL="114300" distR="114300" simplePos="0" relativeHeight="251659264" behindDoc="0" locked="0" layoutInCell="0" allowOverlap="1" wp14:anchorId="09B1B87E" wp14:editId="48515C33">
              <wp:simplePos x="0" y="0"/>
              <wp:positionH relativeFrom="page">
                <wp:align>center</wp:align>
              </wp:positionH>
              <wp:positionV relativeFrom="page">
                <wp:align>bottom</wp:align>
              </wp:positionV>
              <wp:extent cx="7772400" cy="457200"/>
              <wp:effectExtent l="0" t="0" r="0" b="0"/>
              <wp:wrapNone/>
              <wp:docPr id="1" name="MSIPCMf6874297b465573b12eea02d" descr="{&quot;HashCode&quot;:-140660214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B849EC" w14:textId="49587BAA" w:rsidR="006D7E49" w:rsidRPr="006D7E49" w:rsidRDefault="006D7E49" w:rsidP="006D7E49">
                          <w:pPr>
                            <w:spacing w:after="0"/>
                            <w:jc w:val="center"/>
                            <w:rPr>
                              <w:rFonts w:ascii="Arial" w:hAnsi="Arial" w:cs="Arial"/>
                              <w:color w:val="008000"/>
                              <w:sz w:val="1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B1B87E" id="_x0000_t202" coordsize="21600,21600" o:spt="202" path="m,l,21600r21600,l21600,xe">
              <v:stroke joinstyle="miter"/>
              <v:path gradientshapeok="t" o:connecttype="rect"/>
            </v:shapetype>
            <v:shape id="MSIPCMf6874297b465573b12eea02d" o:spid="_x0000_s1026" type="#_x0000_t202" alt="{&quot;HashCode&quot;:-1406602145,&quot;Height&quot;:9999999.0,&quot;Width&quot;:9999999.0,&quot;Placement&quot;:&quot;Foot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" o:allowincell="f" filled="f" stroked="f" strokeweight=".5pt">
              <v:textbox inset=",0,,0">
                <w:txbxContent>
                  <w:p w14:paraId="4BB849EC" w14:textId="49587BAA" w:rsidR="006D7E49" w:rsidRPr="006D7E49" w:rsidRDefault="006D7E49" w:rsidP="006D7E49">
                    <w:pPr>
                      <w:spacing w:after="0"/>
                      <w:jc w:val="center"/>
                      <w:rPr>
                        <w:rFonts w:ascii="Arial" w:hAnsi="Arial" w:cs="Arial"/>
                        <w:color w:val="008000"/>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8147" w14:textId="77777777" w:rsidR="00290DDA" w:rsidRDefault="0029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81BD" w14:textId="77777777" w:rsidR="002B23CC" w:rsidRDefault="002B23CC" w:rsidP="00C36A55">
      <w:pPr>
        <w:spacing w:after="0" w:line="240" w:lineRule="auto"/>
      </w:pPr>
      <w:r>
        <w:separator/>
      </w:r>
    </w:p>
  </w:footnote>
  <w:footnote w:type="continuationSeparator" w:id="0">
    <w:p w14:paraId="349E539A" w14:textId="77777777" w:rsidR="002B23CC" w:rsidRDefault="002B23CC" w:rsidP="00C36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FFF5" w14:textId="77777777" w:rsidR="00290DDA" w:rsidRDefault="00290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FFAD" w14:textId="77777777" w:rsidR="00290DDA" w:rsidRDefault="00290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5425" w14:textId="77777777" w:rsidR="00290DDA" w:rsidRDefault="00290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2497"/>
    <w:multiLevelType w:val="hybridMultilevel"/>
    <w:tmpl w:val="3B3A7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653EB"/>
    <w:multiLevelType w:val="hybridMultilevel"/>
    <w:tmpl w:val="C9C4E300"/>
    <w:lvl w:ilvl="0" w:tplc="7548BE58">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C6237"/>
    <w:multiLevelType w:val="hybridMultilevel"/>
    <w:tmpl w:val="819EF7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A47392"/>
    <w:multiLevelType w:val="hybridMultilevel"/>
    <w:tmpl w:val="2BC8FAF0"/>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15:restartNumberingAfterBreak="0">
    <w:nsid w:val="24DC4441"/>
    <w:multiLevelType w:val="hybridMultilevel"/>
    <w:tmpl w:val="E1CA9C2E"/>
    <w:lvl w:ilvl="0" w:tplc="0BECC356">
      <w:start w:val="1"/>
      <w:numFmt w:val="lowerLetter"/>
      <w:lvlText w:val="%1)"/>
      <w:lvlJc w:val="left"/>
      <w:pPr>
        <w:ind w:left="720" w:hanging="360"/>
      </w:pPr>
      <w:rPr>
        <w:rFonts w:hint="default"/>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C01E36"/>
    <w:multiLevelType w:val="hybridMultilevel"/>
    <w:tmpl w:val="6BB204B0"/>
    <w:lvl w:ilvl="0" w:tplc="EC5AC3FE">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F186A"/>
    <w:multiLevelType w:val="hybridMultilevel"/>
    <w:tmpl w:val="B4968034"/>
    <w:lvl w:ilvl="0" w:tplc="080C0017">
      <w:start w:val="1"/>
      <w:numFmt w:val="lowerLetter"/>
      <w:lvlText w:val="%1)"/>
      <w:lvlJc w:val="left"/>
      <w:pPr>
        <w:ind w:left="1919" w:hanging="360"/>
      </w:pPr>
    </w:lvl>
    <w:lvl w:ilvl="1" w:tplc="080C0019">
      <w:start w:val="1"/>
      <w:numFmt w:val="lowerLetter"/>
      <w:lvlText w:val="%2."/>
      <w:lvlJc w:val="left"/>
      <w:pPr>
        <w:ind w:left="2639" w:hanging="360"/>
      </w:pPr>
    </w:lvl>
    <w:lvl w:ilvl="2" w:tplc="080C001B">
      <w:start w:val="1"/>
      <w:numFmt w:val="lowerRoman"/>
      <w:lvlText w:val="%3."/>
      <w:lvlJc w:val="right"/>
      <w:pPr>
        <w:ind w:left="3359" w:hanging="180"/>
      </w:pPr>
    </w:lvl>
    <w:lvl w:ilvl="3" w:tplc="080C000F">
      <w:start w:val="1"/>
      <w:numFmt w:val="decimal"/>
      <w:lvlText w:val="%4."/>
      <w:lvlJc w:val="left"/>
      <w:pPr>
        <w:ind w:left="4079" w:hanging="360"/>
      </w:pPr>
    </w:lvl>
    <w:lvl w:ilvl="4" w:tplc="080C0019">
      <w:start w:val="1"/>
      <w:numFmt w:val="lowerLetter"/>
      <w:lvlText w:val="%5."/>
      <w:lvlJc w:val="left"/>
      <w:pPr>
        <w:ind w:left="4799" w:hanging="360"/>
      </w:pPr>
    </w:lvl>
    <w:lvl w:ilvl="5" w:tplc="080C001B">
      <w:start w:val="1"/>
      <w:numFmt w:val="lowerRoman"/>
      <w:lvlText w:val="%6."/>
      <w:lvlJc w:val="right"/>
      <w:pPr>
        <w:ind w:left="5519" w:hanging="180"/>
      </w:pPr>
    </w:lvl>
    <w:lvl w:ilvl="6" w:tplc="080C000F">
      <w:start w:val="1"/>
      <w:numFmt w:val="decimal"/>
      <w:lvlText w:val="%7."/>
      <w:lvlJc w:val="left"/>
      <w:pPr>
        <w:ind w:left="6239" w:hanging="360"/>
      </w:pPr>
    </w:lvl>
    <w:lvl w:ilvl="7" w:tplc="080C0019">
      <w:start w:val="1"/>
      <w:numFmt w:val="lowerLetter"/>
      <w:lvlText w:val="%8."/>
      <w:lvlJc w:val="left"/>
      <w:pPr>
        <w:ind w:left="6959" w:hanging="360"/>
      </w:pPr>
    </w:lvl>
    <w:lvl w:ilvl="8" w:tplc="080C001B">
      <w:start w:val="1"/>
      <w:numFmt w:val="lowerRoman"/>
      <w:lvlText w:val="%9."/>
      <w:lvlJc w:val="right"/>
      <w:pPr>
        <w:ind w:left="7679" w:hanging="180"/>
      </w:pPr>
    </w:lvl>
  </w:abstractNum>
  <w:abstractNum w:abstractNumId="7" w15:restartNumberingAfterBreak="0">
    <w:nsid w:val="3E8E12C0"/>
    <w:multiLevelType w:val="hybridMultilevel"/>
    <w:tmpl w:val="32E00598"/>
    <w:lvl w:ilvl="0" w:tplc="0E5077FC">
      <w:start w:val="1"/>
      <w:numFmt w:val="lowerLetter"/>
      <w:lvlText w:val="%1)"/>
      <w:lvlJc w:val="left"/>
      <w:pPr>
        <w:ind w:left="720" w:hanging="360"/>
      </w:pPr>
      <w:rPr>
        <w:rFonts w:hint="default"/>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FC5929"/>
    <w:multiLevelType w:val="hybridMultilevel"/>
    <w:tmpl w:val="9010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C54F3"/>
    <w:multiLevelType w:val="hybridMultilevel"/>
    <w:tmpl w:val="899C8F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9"/>
  </w:num>
  <w:num w:numId="6">
    <w:abstractNumId w:val="2"/>
  </w:num>
  <w:num w:numId="7">
    <w:abstractNumId w:val="4"/>
  </w:num>
  <w:num w:numId="8">
    <w:abstractNumId w:val="7"/>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AC"/>
    <w:rsid w:val="00043237"/>
    <w:rsid w:val="00051A9D"/>
    <w:rsid w:val="00060B64"/>
    <w:rsid w:val="0007099C"/>
    <w:rsid w:val="00072102"/>
    <w:rsid w:val="000A27E1"/>
    <w:rsid w:val="000A5331"/>
    <w:rsid w:val="000B00AD"/>
    <w:rsid w:val="000F0775"/>
    <w:rsid w:val="001038B0"/>
    <w:rsid w:val="00126CE4"/>
    <w:rsid w:val="00127C33"/>
    <w:rsid w:val="00135871"/>
    <w:rsid w:val="00146EF4"/>
    <w:rsid w:val="001756AC"/>
    <w:rsid w:val="001847C3"/>
    <w:rsid w:val="001A50F6"/>
    <w:rsid w:val="001B0697"/>
    <w:rsid w:val="001B28CB"/>
    <w:rsid w:val="001E3680"/>
    <w:rsid w:val="001F1688"/>
    <w:rsid w:val="002562FD"/>
    <w:rsid w:val="00277E86"/>
    <w:rsid w:val="00290DDA"/>
    <w:rsid w:val="002B23CC"/>
    <w:rsid w:val="002B36AA"/>
    <w:rsid w:val="002B6090"/>
    <w:rsid w:val="002D6293"/>
    <w:rsid w:val="002E457C"/>
    <w:rsid w:val="002F35B7"/>
    <w:rsid w:val="00301C42"/>
    <w:rsid w:val="003451A4"/>
    <w:rsid w:val="00347AB4"/>
    <w:rsid w:val="00354098"/>
    <w:rsid w:val="003750FF"/>
    <w:rsid w:val="003D58CF"/>
    <w:rsid w:val="004063D6"/>
    <w:rsid w:val="00447301"/>
    <w:rsid w:val="00452770"/>
    <w:rsid w:val="004536D7"/>
    <w:rsid w:val="00467570"/>
    <w:rsid w:val="00472AD6"/>
    <w:rsid w:val="004911FE"/>
    <w:rsid w:val="004A1549"/>
    <w:rsid w:val="004B5F2E"/>
    <w:rsid w:val="004C2021"/>
    <w:rsid w:val="004C67A5"/>
    <w:rsid w:val="004D033A"/>
    <w:rsid w:val="004E4242"/>
    <w:rsid w:val="0054477F"/>
    <w:rsid w:val="00561887"/>
    <w:rsid w:val="005676C2"/>
    <w:rsid w:val="00592353"/>
    <w:rsid w:val="005A3105"/>
    <w:rsid w:val="005B5256"/>
    <w:rsid w:val="005E0E1E"/>
    <w:rsid w:val="00625916"/>
    <w:rsid w:val="00633AD2"/>
    <w:rsid w:val="006863FD"/>
    <w:rsid w:val="00697878"/>
    <w:rsid w:val="006B107C"/>
    <w:rsid w:val="006D7E49"/>
    <w:rsid w:val="006E2A38"/>
    <w:rsid w:val="00726F83"/>
    <w:rsid w:val="00756813"/>
    <w:rsid w:val="0076100E"/>
    <w:rsid w:val="007A0988"/>
    <w:rsid w:val="007B193A"/>
    <w:rsid w:val="00803CFF"/>
    <w:rsid w:val="0080558C"/>
    <w:rsid w:val="00827758"/>
    <w:rsid w:val="008566A7"/>
    <w:rsid w:val="008623C4"/>
    <w:rsid w:val="00865856"/>
    <w:rsid w:val="00871C7B"/>
    <w:rsid w:val="0088566B"/>
    <w:rsid w:val="00891299"/>
    <w:rsid w:val="0089672A"/>
    <w:rsid w:val="00896B3B"/>
    <w:rsid w:val="008A1360"/>
    <w:rsid w:val="008A576F"/>
    <w:rsid w:val="008D2D59"/>
    <w:rsid w:val="008E0821"/>
    <w:rsid w:val="00916761"/>
    <w:rsid w:val="00925291"/>
    <w:rsid w:val="00926FB1"/>
    <w:rsid w:val="0094556B"/>
    <w:rsid w:val="009543A7"/>
    <w:rsid w:val="009A53EE"/>
    <w:rsid w:val="009C66A5"/>
    <w:rsid w:val="009D123C"/>
    <w:rsid w:val="009F6E3B"/>
    <w:rsid w:val="009F71AD"/>
    <w:rsid w:val="00A06DA6"/>
    <w:rsid w:val="00A239BB"/>
    <w:rsid w:val="00A306CA"/>
    <w:rsid w:val="00A43155"/>
    <w:rsid w:val="00AB6502"/>
    <w:rsid w:val="00AF16A8"/>
    <w:rsid w:val="00B3235B"/>
    <w:rsid w:val="00B5389B"/>
    <w:rsid w:val="00B70A75"/>
    <w:rsid w:val="00B87141"/>
    <w:rsid w:val="00BF1069"/>
    <w:rsid w:val="00C02314"/>
    <w:rsid w:val="00C308EC"/>
    <w:rsid w:val="00C36A55"/>
    <w:rsid w:val="00C711B8"/>
    <w:rsid w:val="00C74B3B"/>
    <w:rsid w:val="00C76F3E"/>
    <w:rsid w:val="00C947C3"/>
    <w:rsid w:val="00CF4F4D"/>
    <w:rsid w:val="00CF4F94"/>
    <w:rsid w:val="00D0154A"/>
    <w:rsid w:val="00D27496"/>
    <w:rsid w:val="00D350C3"/>
    <w:rsid w:val="00D84EA8"/>
    <w:rsid w:val="00D860C8"/>
    <w:rsid w:val="00DB0BE0"/>
    <w:rsid w:val="00EB505D"/>
    <w:rsid w:val="00EC47CC"/>
    <w:rsid w:val="00ED4265"/>
    <w:rsid w:val="00EE3F4F"/>
    <w:rsid w:val="00F57F8B"/>
    <w:rsid w:val="00F67968"/>
    <w:rsid w:val="00F75217"/>
    <w:rsid w:val="00FF3C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0E188"/>
  <w15:docId w15:val="{EEF8879D-17D5-4DB6-895C-4CA260E7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list"/>
    <w:basedOn w:val="Normal"/>
    <w:uiPriority w:val="34"/>
    <w:qFormat/>
    <w:rsid w:val="001756AC"/>
    <w:pPr>
      <w:ind w:left="720"/>
      <w:contextualSpacing/>
    </w:pPr>
  </w:style>
  <w:style w:type="paragraph" w:styleId="BalloonText">
    <w:name w:val="Balloon Text"/>
    <w:basedOn w:val="Normal"/>
    <w:link w:val="BalloonTextChar"/>
    <w:uiPriority w:val="99"/>
    <w:semiHidden/>
    <w:unhideWhenUsed/>
    <w:rsid w:val="003D5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8CF"/>
    <w:rPr>
      <w:rFonts w:ascii="Segoe UI" w:hAnsi="Segoe UI" w:cs="Segoe UI"/>
      <w:sz w:val="18"/>
      <w:szCs w:val="18"/>
    </w:rPr>
  </w:style>
  <w:style w:type="paragraph" w:styleId="NormalWeb">
    <w:name w:val="Normal (Web)"/>
    <w:basedOn w:val="Normal"/>
    <w:uiPriority w:val="99"/>
    <w:unhideWhenUsed/>
    <w:rsid w:val="001038B0"/>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C36A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6A55"/>
  </w:style>
  <w:style w:type="paragraph" w:styleId="Footer">
    <w:name w:val="footer"/>
    <w:basedOn w:val="Normal"/>
    <w:link w:val="FooterChar"/>
    <w:uiPriority w:val="99"/>
    <w:unhideWhenUsed/>
    <w:rsid w:val="00C36A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6A55"/>
  </w:style>
  <w:style w:type="character" w:styleId="CommentReference">
    <w:name w:val="annotation reference"/>
    <w:basedOn w:val="DefaultParagraphFont"/>
    <w:uiPriority w:val="99"/>
    <w:semiHidden/>
    <w:unhideWhenUsed/>
    <w:rsid w:val="00756813"/>
    <w:rPr>
      <w:sz w:val="16"/>
      <w:szCs w:val="16"/>
    </w:rPr>
  </w:style>
  <w:style w:type="paragraph" w:styleId="CommentText">
    <w:name w:val="annotation text"/>
    <w:basedOn w:val="Normal"/>
    <w:link w:val="CommentTextChar"/>
    <w:uiPriority w:val="99"/>
    <w:semiHidden/>
    <w:unhideWhenUsed/>
    <w:rsid w:val="00756813"/>
    <w:pPr>
      <w:spacing w:line="240" w:lineRule="auto"/>
    </w:pPr>
    <w:rPr>
      <w:sz w:val="20"/>
      <w:szCs w:val="20"/>
    </w:rPr>
  </w:style>
  <w:style w:type="character" w:customStyle="1" w:styleId="CommentTextChar">
    <w:name w:val="Comment Text Char"/>
    <w:basedOn w:val="DefaultParagraphFont"/>
    <w:link w:val="CommentText"/>
    <w:uiPriority w:val="99"/>
    <w:semiHidden/>
    <w:rsid w:val="00756813"/>
    <w:rPr>
      <w:sz w:val="20"/>
      <w:szCs w:val="20"/>
    </w:rPr>
  </w:style>
  <w:style w:type="paragraph" w:styleId="CommentSubject">
    <w:name w:val="annotation subject"/>
    <w:basedOn w:val="CommentText"/>
    <w:next w:val="CommentText"/>
    <w:link w:val="CommentSubjectChar"/>
    <w:uiPriority w:val="99"/>
    <w:semiHidden/>
    <w:unhideWhenUsed/>
    <w:rsid w:val="00756813"/>
    <w:rPr>
      <w:b/>
      <w:bCs/>
    </w:rPr>
  </w:style>
  <w:style w:type="character" w:customStyle="1" w:styleId="CommentSubjectChar">
    <w:name w:val="Comment Subject Char"/>
    <w:basedOn w:val="CommentTextChar"/>
    <w:link w:val="CommentSubject"/>
    <w:uiPriority w:val="99"/>
    <w:semiHidden/>
    <w:rsid w:val="007568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124798">
      <w:bodyDiv w:val="1"/>
      <w:marLeft w:val="0"/>
      <w:marRight w:val="0"/>
      <w:marTop w:val="0"/>
      <w:marBottom w:val="0"/>
      <w:divBdr>
        <w:top w:val="none" w:sz="0" w:space="0" w:color="auto"/>
        <w:left w:val="none" w:sz="0" w:space="0" w:color="auto"/>
        <w:bottom w:val="none" w:sz="0" w:space="0" w:color="auto"/>
        <w:right w:val="none" w:sz="0" w:space="0" w:color="auto"/>
      </w:divBdr>
    </w:div>
    <w:div w:id="17446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85cdf2e-a1a1-4fa9-93c5-09bfe0d00d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F83774FFCD7544B478A112EA4295C1" ma:contentTypeVersion="12" ma:contentTypeDescription="Create a new document." ma:contentTypeScope="" ma:versionID="0dfcb6520470c3641025fb02d4d9b9d6">
  <xsd:schema xmlns:xsd="http://www.w3.org/2001/XMLSchema" xmlns:xs="http://www.w3.org/2001/XMLSchema" xmlns:p="http://schemas.microsoft.com/office/2006/metadata/properties" xmlns:ns2="62bc03c0-55c1-4c45-ad39-0b0f9d9d3f94" xmlns:ns3="985cdf2e-a1a1-4fa9-93c5-09bfe0d00dee" targetNamespace="http://schemas.microsoft.com/office/2006/metadata/properties" ma:root="true" ma:fieldsID="e6bddb6c6781bfa3284d28f0fcfcb8ed" ns2:_="" ns3:_="">
    <xsd:import namespace="62bc03c0-55c1-4c45-ad39-0b0f9d9d3f94"/>
    <xsd:import namespace="985cdf2e-a1a1-4fa9-93c5-09bfe0d00dee"/>
    <xsd:element name="properties">
      <xsd:complexType>
        <xsd:sequence>
          <xsd:element name="documentManagement">
            <xsd:complexType>
              <xsd:all>
                <xsd:element ref="ns2:SharedWithUsers" minOccurs="0"/>
                <xsd:element ref="ns2:SharedWithDetails" minOccurs="0"/>
                <xsd:element ref="ns3: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c03c0-55c1-4c45-ad39-0b0f9d9d3f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cdf2e-a1a1-4fa9-93c5-09bfe0d00dee" elementFormDefault="qualified">
    <xsd:import namespace="http://schemas.microsoft.com/office/2006/documentManagement/types"/>
    <xsd:import namespace="http://schemas.microsoft.com/office/infopath/2007/PartnerControls"/>
    <xsd:element name="Date" ma:index="10" nillable="true" ma:displayName="Date" ma:format="DateOnly" ma:internalName="Date">
      <xsd:simpleType>
        <xsd:restriction base="dms:DateTime"/>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FEB4F-D535-4FC6-B08B-C2323BD11F26}">
  <ds:schemaRefs>
    <ds:schemaRef ds:uri="http://schemas.microsoft.com/sharepoint/v3/contenttype/forms"/>
  </ds:schemaRefs>
</ds:datastoreItem>
</file>

<file path=customXml/itemProps2.xml><?xml version="1.0" encoding="utf-8"?>
<ds:datastoreItem xmlns:ds="http://schemas.openxmlformats.org/officeDocument/2006/customXml" ds:itemID="{21DD67A7-5AD8-42A0-9340-B3E85001812B}">
  <ds:schemaRefs>
    <ds:schemaRef ds:uri="http://schemas.microsoft.com/office/2006/metadata/properties"/>
    <ds:schemaRef ds:uri="http://schemas.microsoft.com/office/infopath/2007/PartnerControls"/>
    <ds:schemaRef ds:uri="985cdf2e-a1a1-4fa9-93c5-09bfe0d00dee"/>
  </ds:schemaRefs>
</ds:datastoreItem>
</file>

<file path=customXml/itemProps3.xml><?xml version="1.0" encoding="utf-8"?>
<ds:datastoreItem xmlns:ds="http://schemas.openxmlformats.org/officeDocument/2006/customXml" ds:itemID="{D40D6012-8EB1-4660-ACCD-A92F38F6599C}">
  <ds:schemaRefs>
    <ds:schemaRef ds:uri="http://schemas.openxmlformats.org/officeDocument/2006/bibliography"/>
  </ds:schemaRefs>
</ds:datastoreItem>
</file>

<file path=customXml/itemProps4.xml><?xml version="1.0" encoding="utf-8"?>
<ds:datastoreItem xmlns:ds="http://schemas.openxmlformats.org/officeDocument/2006/customXml" ds:itemID="{0547D46A-BEF4-440C-8EE3-C977A48D5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c03c0-55c1-4c45-ad39-0b0f9d9d3f94"/>
    <ds:schemaRef ds:uri="985cdf2e-a1a1-4fa9-93c5-09bfe0d00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1044</Words>
  <Characters>5956</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ESTEE LAUDER COMPANIES</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Stasio, Raniero</dc:creator>
  <cp:keywords/>
  <dc:description/>
  <cp:lastModifiedBy>Estefania Cardamone</cp:lastModifiedBy>
  <cp:revision>23</cp:revision>
  <cp:lastPrinted>2018-03-15T17:52:00Z</cp:lastPrinted>
  <dcterms:created xsi:type="dcterms:W3CDTF">2021-08-25T15:37:00Z</dcterms:created>
  <dcterms:modified xsi:type="dcterms:W3CDTF">2022-02-09T15:03:00Z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b7177-c66c-4b22-a350-7ee86f9a1e74_Enabled">
    <vt:lpwstr>False</vt:lpwstr>
  </property>
  <property fmtid="{D5CDD505-2E9C-101B-9397-08002B2CF9AE}" pid="3" name="MSIP_Label_f43b7177-c66c-4b22-a350-7ee86f9a1e74_SiteId">
    <vt:lpwstr>e4e1abd9-eac7-4a71-ab52-da5c998aa7ba</vt:lpwstr>
  </property>
  <property fmtid="{D5CDD505-2E9C-101B-9397-08002B2CF9AE}" pid="4" name="MSIP_Label_f43b7177-c66c-4b22-a350-7ee86f9a1e74_Owner">
    <vt:lpwstr>dagmar.bury@rd.loreal.com</vt:lpwstr>
  </property>
  <property fmtid="{D5CDD505-2E9C-101B-9397-08002B2CF9AE}" pid="5" name="MSIP_Label_f43b7177-c66c-4b22-a350-7ee86f9a1e74_SetDate">
    <vt:lpwstr>2020-05-05T12:00:38.8718749Z</vt:lpwstr>
  </property>
  <property fmtid="{D5CDD505-2E9C-101B-9397-08002B2CF9AE}" pid="6" name="MSIP_Label_f43b7177-c66c-4b22-a350-7ee86f9a1e74_Name">
    <vt:lpwstr>C1 - Internal use</vt:lpwstr>
  </property>
  <property fmtid="{D5CDD505-2E9C-101B-9397-08002B2CF9AE}" pid="7" name="MSIP_Label_f43b7177-c66c-4b22-a350-7ee86f9a1e74_Application">
    <vt:lpwstr>Microsoft Azure Information Protection</vt:lpwstr>
  </property>
  <property fmtid="{D5CDD505-2E9C-101B-9397-08002B2CF9AE}" pid="8" name="MSIP_Label_f43b7177-c66c-4b22-a350-7ee86f9a1e74_ActionId">
    <vt:lpwstr>f6a456a7-f817-4a56-bf55-b6790913cc06</vt:lpwstr>
  </property>
  <property fmtid="{D5CDD505-2E9C-101B-9397-08002B2CF9AE}" pid="9" name="MSIP_Label_f43b7177-c66c-4b22-a350-7ee86f9a1e74_Extended_MSFT_Method">
    <vt:lpwstr>Automatic</vt:lpwstr>
  </property>
  <property fmtid="{D5CDD505-2E9C-101B-9397-08002B2CF9AE}" pid="10" name="ContentTypeId">
    <vt:lpwstr>0x01010064F83774FFCD7544B478A112EA4295C1</vt:lpwstr>
  </property>
</Properties>
</file>