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E9F" w:rsidRPr="00621BC8" w:rsidRDefault="00C77E9F" w:rsidP="00C77E9F">
      <w:pPr>
        <w:jc w:val="center"/>
      </w:pPr>
      <w:r w:rsidRPr="00621BC8">
        <w:t>Ministry of Commerce of the People’s Republic of China</w:t>
      </w:r>
    </w:p>
    <w:p w:rsidR="00C77E9F" w:rsidRPr="00621BC8" w:rsidRDefault="00C77E9F" w:rsidP="00C77E9F">
      <w:pPr>
        <w:jc w:val="center"/>
      </w:pPr>
      <w:r w:rsidRPr="00621BC8">
        <w:t>Notice No.</w:t>
      </w:r>
      <w:r w:rsidR="00187973">
        <w:t>36</w:t>
      </w:r>
      <w:r w:rsidRPr="00621BC8">
        <w:t xml:space="preserve"> (20</w:t>
      </w:r>
      <w:r w:rsidR="007309BD" w:rsidRPr="00621BC8">
        <w:t>24</w:t>
      </w:r>
      <w:r w:rsidRPr="00621BC8">
        <w:t>)</w:t>
      </w:r>
    </w:p>
    <w:p w:rsidR="00C77E9F" w:rsidRPr="00621BC8" w:rsidRDefault="00E341C1" w:rsidP="00E341C1">
      <w:pPr>
        <w:jc w:val="center"/>
      </w:pPr>
      <w:r w:rsidRPr="00621BC8">
        <w:t xml:space="preserve">Notice on Initiation of </w:t>
      </w:r>
      <w:r w:rsidR="004F01D9" w:rsidRPr="00621BC8">
        <w:t xml:space="preserve">Expiry Review </w:t>
      </w:r>
      <w:r w:rsidRPr="00621BC8">
        <w:t xml:space="preserve">Investigation </w:t>
      </w:r>
      <w:r w:rsidR="004F01D9" w:rsidRPr="00621BC8">
        <w:t xml:space="preserve">on Anti-dumping Measures on </w:t>
      </w:r>
      <w:r w:rsidRPr="00621BC8">
        <w:t xml:space="preserve">Imports of </w:t>
      </w:r>
      <w:r w:rsidR="00187973" w:rsidRPr="00187973">
        <w:t>Phenol</w:t>
      </w:r>
      <w:r w:rsidR="00187973">
        <w:rPr>
          <w:rFonts w:ascii="Helvetica" w:hAnsi="Helvetica" w:cs="Helvetica"/>
          <w:color w:val="262626"/>
          <w:sz w:val="27"/>
          <w:szCs w:val="27"/>
        </w:rPr>
        <w:t xml:space="preserve"> </w:t>
      </w:r>
      <w:r w:rsidRPr="00621BC8">
        <w:rPr>
          <w:rFonts w:eastAsia="Microsoft YaHei"/>
          <w:color w:val="262626"/>
        </w:rPr>
        <w:t xml:space="preserve">originating </w:t>
      </w:r>
      <w:r w:rsidR="004F01D9" w:rsidRPr="00621BC8">
        <w:rPr>
          <w:rFonts w:eastAsia="Microsoft YaHei"/>
          <w:color w:val="262626"/>
        </w:rPr>
        <w:t>in the EU</w:t>
      </w:r>
    </w:p>
    <w:p w:rsidR="00C77E9F" w:rsidRPr="00621BC8" w:rsidRDefault="00C77E9F" w:rsidP="00C77E9F"/>
    <w:p w:rsidR="00E341C1" w:rsidRPr="00621BC8" w:rsidRDefault="00940366" w:rsidP="00C77E9F">
      <w:r w:rsidRPr="00621BC8">
        <w:t xml:space="preserve"> </w:t>
      </w:r>
    </w:p>
    <w:p w:rsidR="005B126E" w:rsidRDefault="004F01D9" w:rsidP="00094173">
      <w:pPr>
        <w:jc w:val="both"/>
      </w:pPr>
      <w:r w:rsidRPr="00621BC8">
        <w:t xml:space="preserve">On </w:t>
      </w:r>
      <w:r w:rsidR="00187973">
        <w:t>3 S</w:t>
      </w:r>
      <w:r w:rsidR="00187973">
        <w:rPr>
          <w:rFonts w:hint="eastAsia"/>
        </w:rPr>
        <w:t>e</w:t>
      </w:r>
      <w:r w:rsidR="00187973">
        <w:t>ptember</w:t>
      </w:r>
      <w:r w:rsidRPr="00621BC8">
        <w:t xml:space="preserve"> 201</w:t>
      </w:r>
      <w:r w:rsidR="00187973">
        <w:t>9</w:t>
      </w:r>
      <w:r w:rsidRPr="00621BC8">
        <w:t>, the Ministry of Commerce</w:t>
      </w:r>
      <w:r w:rsidR="005B126E">
        <w:t xml:space="preserve"> (Mofcom)</w:t>
      </w:r>
      <w:r w:rsidRPr="00621BC8">
        <w:t xml:space="preserve"> published the</w:t>
      </w:r>
      <w:r w:rsidR="00187973">
        <w:t xml:space="preserve"> Notice No. 37</w:t>
      </w:r>
      <w:r w:rsidRPr="00621BC8">
        <w:t xml:space="preserve"> [201</w:t>
      </w:r>
      <w:r w:rsidR="00187973">
        <w:t>9</w:t>
      </w:r>
      <w:r w:rsidRPr="00621BC8">
        <w:t xml:space="preserve">] and decided to collect anti-dumping tariffs on the imported </w:t>
      </w:r>
      <w:r w:rsidR="00187973">
        <w:t>phenol</w:t>
      </w:r>
      <w:r w:rsidRPr="00621BC8">
        <w:t xml:space="preserve"> originating in the EU as of </w:t>
      </w:r>
      <w:r w:rsidR="00187973">
        <w:t>6 September 2019</w:t>
      </w:r>
      <w:r w:rsidRPr="00621BC8">
        <w:t xml:space="preserve"> for 5 years. The tariff rates</w:t>
      </w:r>
      <w:r w:rsidR="00187973">
        <w:t xml:space="preserve"> </w:t>
      </w:r>
      <w:r w:rsidRPr="00621BC8">
        <w:t xml:space="preserve">were </w:t>
      </w:r>
      <w:r w:rsidR="00187973">
        <w:t xml:space="preserve">USA companies - </w:t>
      </w:r>
      <w:r w:rsidRPr="00621BC8">
        <w:t>19.6% - 36.9%</w:t>
      </w:r>
      <w:r w:rsidR="00187973">
        <w:t>, EU companies, 30.4%, South Korea companies 12.5</w:t>
      </w:r>
      <w:r w:rsidR="005B126E">
        <w:t>%</w:t>
      </w:r>
      <w:r w:rsidR="00187973">
        <w:t xml:space="preserve"> </w:t>
      </w:r>
      <w:r w:rsidR="005B126E">
        <w:t>–</w:t>
      </w:r>
      <w:r w:rsidR="00187973">
        <w:t xml:space="preserve"> </w:t>
      </w:r>
      <w:r w:rsidR="005B126E">
        <w:t>23.7%, Japan companies 19.3% - 27.0%, Thailand companies 10.6% - 28.6%</w:t>
      </w:r>
      <w:r w:rsidRPr="00621BC8">
        <w:t xml:space="preserve">. </w:t>
      </w:r>
      <w:r w:rsidR="005B126E" w:rsidRPr="005B126E">
        <w:t xml:space="preserve">In April 2023, Mofcom issued </w:t>
      </w:r>
      <w:r w:rsidR="005B126E">
        <w:t>Notice</w:t>
      </w:r>
      <w:r w:rsidR="005B126E" w:rsidRPr="005B126E">
        <w:t xml:space="preserve"> No. 15 of 2023, deciding that Thai National Petroleum Global Chemical Co. Ltd. would succeed PTT Phenol Co. Ltd. with respect to the </w:t>
      </w:r>
      <w:r w:rsidR="005B126E">
        <w:t>tariff</w:t>
      </w:r>
      <w:r w:rsidR="005B126E" w:rsidRPr="005B126E">
        <w:t xml:space="preserve"> rates and other rights and obligations applied in the anti-dumping measures on phenol.</w:t>
      </w:r>
    </w:p>
    <w:p w:rsidR="005B126E" w:rsidRDefault="005B126E" w:rsidP="00094173">
      <w:pPr>
        <w:jc w:val="both"/>
      </w:pPr>
    </w:p>
    <w:p w:rsidR="00A0099F" w:rsidRDefault="00A0099F" w:rsidP="00A0099F">
      <w:pPr>
        <w:jc w:val="both"/>
      </w:pPr>
      <w:r w:rsidRPr="00621BC8">
        <w:t xml:space="preserve">According to </w:t>
      </w:r>
      <w:r w:rsidR="005B126E" w:rsidRPr="00621BC8">
        <w:t xml:space="preserve">Mofcom </w:t>
      </w:r>
      <w:r w:rsidRPr="00621BC8">
        <w:t xml:space="preserve">Announcement No. 3 [2021], after the end of the transition period of the UK's exit from the </w:t>
      </w:r>
      <w:r w:rsidR="00021DE8">
        <w:t>EU</w:t>
      </w:r>
      <w:r w:rsidRPr="00621BC8">
        <w:t xml:space="preserve"> on 31 December 2020, the trade remedy measures that had been previously imposed on the EU would continue to apply to the EU and the UK for the same period of time. Newly initiated trade remedy investigations and review cases against the EU after that date would no longer treat UK as an EU member state.</w:t>
      </w:r>
    </w:p>
    <w:p w:rsidR="005B126E" w:rsidRDefault="005B126E" w:rsidP="00A0099F">
      <w:pPr>
        <w:jc w:val="both"/>
      </w:pPr>
    </w:p>
    <w:p w:rsidR="005554C2" w:rsidRPr="00621BC8" w:rsidRDefault="00C77E9F" w:rsidP="005554C2">
      <w:pPr>
        <w:jc w:val="both"/>
      </w:pPr>
      <w:r w:rsidRPr="00621BC8">
        <w:t xml:space="preserve">On </w:t>
      </w:r>
      <w:r w:rsidR="005B126E">
        <w:t>19 June</w:t>
      </w:r>
      <w:r w:rsidR="007309BD" w:rsidRPr="00621BC8">
        <w:t xml:space="preserve"> 202</w:t>
      </w:r>
      <w:r w:rsidR="00A0099F" w:rsidRPr="00621BC8">
        <w:t>4</w:t>
      </w:r>
      <w:r w:rsidRPr="00621BC8">
        <w:t xml:space="preserve">, the Ministry of Commerce </w:t>
      </w:r>
      <w:r w:rsidR="008F08E0" w:rsidRPr="008F08E0">
        <w:t xml:space="preserve">received applications for </w:t>
      </w:r>
      <w:r w:rsidR="008F08E0">
        <w:t>an expirty</w:t>
      </w:r>
      <w:r w:rsidR="008F08E0" w:rsidRPr="008F08E0">
        <w:t xml:space="preserve"> review of anti-dumping measures submitted </w:t>
      </w:r>
      <w:r w:rsidR="008F08E0" w:rsidRPr="008F08E0">
        <w:t>by nine applicants, including China Petroleum &amp; Chemical Corporation Beijing Yanshan Branch, and three supporting applicants, including Zhongsha (Tianjin) Petrochemical Co</w:t>
      </w:r>
      <w:r w:rsidR="008F08E0" w:rsidRPr="008F08E0">
        <w:t xml:space="preserve"> on behalf of the domestic phenol industry</w:t>
      </w:r>
      <w:r w:rsidRPr="00621BC8">
        <w:t xml:space="preserve">. </w:t>
      </w:r>
      <w:r w:rsidR="005554C2" w:rsidRPr="00621BC8">
        <w:t xml:space="preserve">The applicants claimed that, if the anti-dumping measures were terminated, the dumping of the imported </w:t>
      </w:r>
      <w:r w:rsidR="008F08E0">
        <w:t>phenol</w:t>
      </w:r>
      <w:r w:rsidR="005554C2" w:rsidRPr="00621BC8">
        <w:t xml:space="preserve"> might continue or recur, and the injury to the domestic industry might continue or recur, and therefore requested </w:t>
      </w:r>
      <w:r w:rsidR="008F08E0" w:rsidRPr="00621BC8">
        <w:t xml:space="preserve">Mofcom </w:t>
      </w:r>
      <w:r w:rsidR="005554C2" w:rsidRPr="00621BC8">
        <w:t xml:space="preserve">to conduct an expiry review investigation of the imported </w:t>
      </w:r>
      <w:r w:rsidR="008F08E0">
        <w:t>phenol</w:t>
      </w:r>
      <w:r w:rsidR="005554C2" w:rsidRPr="00621BC8">
        <w:t xml:space="preserve"> originating in the </w:t>
      </w:r>
      <w:r w:rsidR="008F08E0">
        <w:t xml:space="preserve">USA, the </w:t>
      </w:r>
      <w:r w:rsidR="005554C2" w:rsidRPr="00621BC8">
        <w:t>EU,</w:t>
      </w:r>
      <w:r w:rsidR="008F08E0">
        <w:t xml:space="preserve"> South Korea, Japan and Thailand. </w:t>
      </w:r>
      <w:r w:rsidR="005554C2" w:rsidRPr="00621BC8">
        <w:t xml:space="preserve"> and to </w:t>
      </w:r>
      <w:r w:rsidR="00021DE8">
        <w:t>keep</w:t>
      </w:r>
      <w:r w:rsidR="005554C2" w:rsidRPr="00621BC8">
        <w:t xml:space="preserve"> the anti-dumping measures imposed on the imported </w:t>
      </w:r>
      <w:r w:rsidR="008F08E0">
        <w:t>phenol</w:t>
      </w:r>
      <w:r w:rsidR="005554C2" w:rsidRPr="00621BC8">
        <w:t xml:space="preserve"> originating in the</w:t>
      </w:r>
      <w:r w:rsidR="008F08E0">
        <w:t xml:space="preserve"> USA, the EU, South Korea, Japan and Thailand</w:t>
      </w:r>
      <w:r w:rsidR="005554C2" w:rsidRPr="00621BC8">
        <w:t xml:space="preserve">. The applicants did not file an application for </w:t>
      </w:r>
      <w:r w:rsidR="00021DE8">
        <w:t xml:space="preserve">an </w:t>
      </w:r>
      <w:r w:rsidR="005554C2" w:rsidRPr="00621BC8">
        <w:t xml:space="preserve">expiry review of the anti-dumping measures applied to imports of </w:t>
      </w:r>
      <w:r w:rsidR="008F08E0">
        <w:t>phenol</w:t>
      </w:r>
      <w:r w:rsidR="005554C2" w:rsidRPr="00621BC8">
        <w:t xml:space="preserve"> originating in the UK.</w:t>
      </w:r>
    </w:p>
    <w:p w:rsidR="005554C2" w:rsidRPr="00621BC8" w:rsidRDefault="005554C2" w:rsidP="005554C2">
      <w:pPr>
        <w:jc w:val="both"/>
      </w:pPr>
    </w:p>
    <w:p w:rsidR="00160938" w:rsidRPr="00621BC8" w:rsidRDefault="005554C2" w:rsidP="005554C2">
      <w:pPr>
        <w:jc w:val="both"/>
      </w:pPr>
      <w:r w:rsidRPr="00621BC8">
        <w:t xml:space="preserve">In accordance with the relevant provisions of the </w:t>
      </w:r>
      <w:r w:rsidR="00160938" w:rsidRPr="00621BC8">
        <w:rPr>
          <w:i/>
        </w:rPr>
        <w:t>Anti-Dumping Regulation of the People’s Republic of China</w:t>
      </w:r>
      <w:r w:rsidRPr="00621BC8">
        <w:t>, the Ministry of Commerce examined the qualifications of the applicant</w:t>
      </w:r>
      <w:r w:rsidR="00160938" w:rsidRPr="00621BC8">
        <w:t>s</w:t>
      </w:r>
      <w:r w:rsidRPr="00621BC8">
        <w:t xml:space="preserve">, the situation of the investigated products and </w:t>
      </w:r>
      <w:r w:rsidR="00160938" w:rsidRPr="00621BC8">
        <w:t>like-</w:t>
      </w:r>
      <w:r w:rsidRPr="00621BC8">
        <w:t>products in China, the import</w:t>
      </w:r>
      <w:r w:rsidR="00160938" w:rsidRPr="00621BC8">
        <w:t>s</w:t>
      </w:r>
      <w:r w:rsidRPr="00621BC8">
        <w:t xml:space="preserve"> of the investigated products during the period of the anti-dumping measures, the likelihood of the continuation or recurrence of dumping, the likelihood of the continuation or recurrence of injury, and the relevant evidence. The ava</w:t>
      </w:r>
      <w:r w:rsidR="00160938" w:rsidRPr="00621BC8">
        <w:t>ilable evidence shows that the a</w:t>
      </w:r>
      <w:r w:rsidRPr="00621BC8">
        <w:t>pplicant</w:t>
      </w:r>
      <w:r w:rsidR="00160938" w:rsidRPr="00621BC8">
        <w:t>s</w:t>
      </w:r>
      <w:r w:rsidRPr="00621BC8">
        <w:t xml:space="preserve"> meet the requirements of Articles 11, 13 and 17 of the </w:t>
      </w:r>
      <w:r w:rsidRPr="00621BC8">
        <w:rPr>
          <w:i/>
        </w:rPr>
        <w:t>Anti-Dumping Regulations of the People's Republic of China</w:t>
      </w:r>
      <w:r w:rsidRPr="00621BC8">
        <w:t xml:space="preserve"> regarding the industry representativeness, and that </w:t>
      </w:r>
      <w:r w:rsidR="00160938" w:rsidRPr="00621BC8">
        <w:t>they are</w:t>
      </w:r>
      <w:r w:rsidRPr="00621BC8">
        <w:t xml:space="preserve"> qualified </w:t>
      </w:r>
      <w:r w:rsidR="00021DE8">
        <w:t>to file the application</w:t>
      </w:r>
      <w:r w:rsidRPr="00621BC8">
        <w:t xml:space="preserve"> on behalf of China's </w:t>
      </w:r>
      <w:r w:rsidR="008F08E0">
        <w:t>phenol</w:t>
      </w:r>
      <w:r w:rsidR="00160938" w:rsidRPr="00621BC8">
        <w:t xml:space="preserve"> </w:t>
      </w:r>
      <w:r w:rsidRPr="00621BC8">
        <w:t>industry. The investigati</w:t>
      </w:r>
      <w:r w:rsidR="00160938" w:rsidRPr="00621BC8">
        <w:t>on</w:t>
      </w:r>
      <w:r w:rsidRPr="00621BC8">
        <w:t xml:space="preserve"> authority </w:t>
      </w:r>
      <w:r w:rsidR="00160938" w:rsidRPr="00621BC8">
        <w:t>believes</w:t>
      </w:r>
      <w:r w:rsidRPr="00621BC8">
        <w:t xml:space="preserve"> that the applicants</w:t>
      </w:r>
      <w:r w:rsidR="00160938" w:rsidRPr="00621BC8">
        <w:t>’</w:t>
      </w:r>
      <w:r w:rsidRPr="00621BC8">
        <w:t xml:space="preserve"> claims and the prima facie evidence submitted me</w:t>
      </w:r>
      <w:r w:rsidR="004C1B5B" w:rsidRPr="00621BC8">
        <w:t>e</w:t>
      </w:r>
      <w:r w:rsidRPr="00621BC8">
        <w:t xml:space="preserve">t the requirements for </w:t>
      </w:r>
      <w:r w:rsidR="00160938" w:rsidRPr="00621BC8">
        <w:t>in</w:t>
      </w:r>
      <w:r w:rsidR="004C1B5B" w:rsidRPr="00621BC8">
        <w:t>itiating an expiry review investigation.</w:t>
      </w:r>
    </w:p>
    <w:p w:rsidR="00160938" w:rsidRPr="00621BC8" w:rsidRDefault="00160938" w:rsidP="005554C2">
      <w:pPr>
        <w:jc w:val="both"/>
      </w:pPr>
    </w:p>
    <w:p w:rsidR="00C77E9F" w:rsidRPr="00621BC8" w:rsidRDefault="004C1B5B" w:rsidP="00F87340">
      <w:pPr>
        <w:jc w:val="both"/>
      </w:pPr>
      <w:r w:rsidRPr="00621BC8">
        <w:t>In accordance with the</w:t>
      </w:r>
      <w:r w:rsidR="00C77E9F" w:rsidRPr="00621BC8">
        <w:t xml:space="preserve"> Article </w:t>
      </w:r>
      <w:r w:rsidRPr="00621BC8">
        <w:t>48</w:t>
      </w:r>
      <w:r w:rsidR="00C77E9F" w:rsidRPr="00621BC8">
        <w:t xml:space="preserve"> of the </w:t>
      </w:r>
      <w:r w:rsidR="00C77E9F" w:rsidRPr="00621BC8">
        <w:rPr>
          <w:i/>
        </w:rPr>
        <w:t>Anti-Dumping Regulation of the People’s Republic of China</w:t>
      </w:r>
      <w:r w:rsidR="00C77E9F" w:rsidRPr="00621BC8">
        <w:t xml:space="preserve">, the </w:t>
      </w:r>
      <w:r w:rsidR="00DB5909" w:rsidRPr="00621BC8">
        <w:t>Ministry of Commerce decided</w:t>
      </w:r>
      <w:r w:rsidR="00C77E9F" w:rsidRPr="00621BC8">
        <w:t xml:space="preserve"> to initiate an </w:t>
      </w:r>
      <w:r w:rsidR="00DB5909" w:rsidRPr="00621BC8">
        <w:t>expiry review</w:t>
      </w:r>
      <w:r w:rsidR="00F95D0D" w:rsidRPr="00621BC8">
        <w:t xml:space="preserve"> investigation </w:t>
      </w:r>
      <w:r w:rsidR="00DB5909" w:rsidRPr="00621BC8">
        <w:t xml:space="preserve">on the anti-dumping measures on </w:t>
      </w:r>
      <w:r w:rsidR="00F95D0D" w:rsidRPr="00621BC8">
        <w:t xml:space="preserve">imports of </w:t>
      </w:r>
      <w:r w:rsidR="008F08E0">
        <w:t>phenol</w:t>
      </w:r>
      <w:r w:rsidR="00DB5909" w:rsidRPr="00621BC8">
        <w:t xml:space="preserve"> originating in </w:t>
      </w:r>
      <w:r w:rsidR="008F08E0" w:rsidRPr="00621BC8">
        <w:t>the</w:t>
      </w:r>
      <w:r w:rsidR="008F08E0">
        <w:t xml:space="preserve"> USA, the EU, South Korea, Japan and Thailand</w:t>
      </w:r>
      <w:r w:rsidR="008F08E0" w:rsidRPr="00621BC8">
        <w:t xml:space="preserve"> </w:t>
      </w:r>
      <w:r w:rsidR="00C77E9F" w:rsidRPr="00621BC8">
        <w:t xml:space="preserve">since </w:t>
      </w:r>
      <w:r w:rsidR="008F08E0">
        <w:t>6 September</w:t>
      </w:r>
      <w:r w:rsidR="006E788F" w:rsidRPr="00621BC8">
        <w:t xml:space="preserve"> 2024</w:t>
      </w:r>
      <w:r w:rsidR="00C77E9F" w:rsidRPr="00621BC8">
        <w:t>.</w:t>
      </w:r>
    </w:p>
    <w:p w:rsidR="00C77E9F" w:rsidRPr="00621BC8" w:rsidRDefault="00C77E9F" w:rsidP="00C77E9F"/>
    <w:p w:rsidR="00C77E9F" w:rsidRPr="00621BC8" w:rsidRDefault="00C77E9F" w:rsidP="00C77E9F">
      <w:r w:rsidRPr="00621BC8">
        <w:t>The relevant details are hereby made public as follows:</w:t>
      </w:r>
    </w:p>
    <w:p w:rsidR="00C77E9F" w:rsidRPr="00621BC8" w:rsidRDefault="00C77E9F" w:rsidP="00C77E9F">
      <w:pPr>
        <w:autoSpaceDE w:val="0"/>
        <w:autoSpaceDN w:val="0"/>
        <w:adjustRightInd w:val="0"/>
        <w:rPr>
          <w:rFonts w:eastAsia="TimesNewRoman,Bold"/>
          <w:b/>
          <w:bCs/>
        </w:rPr>
      </w:pPr>
    </w:p>
    <w:p w:rsidR="00C77E9F" w:rsidRPr="00621BC8" w:rsidRDefault="00C77E9F" w:rsidP="00C77E9F">
      <w:pPr>
        <w:autoSpaceDE w:val="0"/>
        <w:autoSpaceDN w:val="0"/>
        <w:adjustRightInd w:val="0"/>
      </w:pPr>
      <w:r w:rsidRPr="00621BC8">
        <w:rPr>
          <w:rFonts w:eastAsia="TimesNewRoman,Bold"/>
          <w:b/>
          <w:bCs/>
        </w:rPr>
        <w:t xml:space="preserve">I. </w:t>
      </w:r>
      <w:r w:rsidR="00DB5909" w:rsidRPr="00621BC8">
        <w:rPr>
          <w:rFonts w:eastAsia="TimesNewRoman,Bold"/>
          <w:b/>
          <w:bCs/>
        </w:rPr>
        <w:t>Continuation of anti-dumping measures</w:t>
      </w:r>
    </w:p>
    <w:p w:rsidR="00C77E9F" w:rsidRPr="00621BC8" w:rsidRDefault="00C77E9F" w:rsidP="000D5175">
      <w:pPr>
        <w:autoSpaceDE w:val="0"/>
        <w:autoSpaceDN w:val="0"/>
        <w:adjustRightInd w:val="0"/>
        <w:jc w:val="both"/>
        <w:rPr>
          <w:rFonts w:eastAsia="TimesNewRoman"/>
        </w:rPr>
      </w:pPr>
    </w:p>
    <w:p w:rsidR="00DB5909" w:rsidRPr="00621BC8" w:rsidRDefault="00DB5909" w:rsidP="00DB5909">
      <w:pPr>
        <w:autoSpaceDE w:val="0"/>
        <w:autoSpaceDN w:val="0"/>
        <w:adjustRightInd w:val="0"/>
        <w:jc w:val="both"/>
        <w:rPr>
          <w:rFonts w:eastAsia="TimesNewRoman"/>
        </w:rPr>
      </w:pPr>
      <w:r w:rsidRPr="00621BC8">
        <w:rPr>
          <w:rFonts w:eastAsia="TimesNewRoman"/>
        </w:rPr>
        <w:t xml:space="preserve">Based on the recommendation of the Ministry of Commerce, the Customs Tariff Commission of the State Council decided to continue levying anti-dumping tariffs on imports of </w:t>
      </w:r>
      <w:r w:rsidR="008F08E0">
        <w:rPr>
          <w:rFonts w:eastAsia="TimesNewRoman"/>
        </w:rPr>
        <w:t>phenol</w:t>
      </w:r>
      <w:r w:rsidRPr="00621BC8">
        <w:rPr>
          <w:rFonts w:eastAsia="TimesNewRoman"/>
        </w:rPr>
        <w:t xml:space="preserve"> originating in </w:t>
      </w:r>
      <w:r w:rsidR="008F08E0" w:rsidRPr="00621BC8">
        <w:t>the</w:t>
      </w:r>
      <w:r w:rsidR="008F08E0">
        <w:t xml:space="preserve"> USA, the EU, South Korea, Japan and Thailand</w:t>
      </w:r>
      <w:r w:rsidRPr="00621BC8">
        <w:rPr>
          <w:rFonts w:eastAsia="TimesNewRoman"/>
        </w:rPr>
        <w:t>, in accordance with the product scope</w:t>
      </w:r>
      <w:r w:rsidR="008047A0" w:rsidRPr="00621BC8">
        <w:rPr>
          <w:rFonts w:eastAsia="TimesNewRoman"/>
        </w:rPr>
        <w:t xml:space="preserve"> and </w:t>
      </w:r>
      <w:r w:rsidRPr="00621BC8">
        <w:rPr>
          <w:rFonts w:eastAsia="TimesNewRoman"/>
        </w:rPr>
        <w:t xml:space="preserve">the tariff rates published in Notice No. </w:t>
      </w:r>
      <w:r w:rsidR="008F08E0">
        <w:rPr>
          <w:rFonts w:eastAsia="TimesNewRoman"/>
        </w:rPr>
        <w:t>37</w:t>
      </w:r>
      <w:r w:rsidRPr="00621BC8">
        <w:rPr>
          <w:rFonts w:eastAsia="TimesNewRoman"/>
        </w:rPr>
        <w:t xml:space="preserve"> [201</w:t>
      </w:r>
      <w:r w:rsidR="008F08E0">
        <w:rPr>
          <w:rFonts w:eastAsia="TimesNewRoman"/>
        </w:rPr>
        <w:t>9</w:t>
      </w:r>
      <w:r w:rsidRPr="00621BC8">
        <w:rPr>
          <w:rFonts w:eastAsia="TimesNewRoman"/>
        </w:rPr>
        <w:t xml:space="preserve">] and Notice No. </w:t>
      </w:r>
      <w:r w:rsidR="008F08E0">
        <w:rPr>
          <w:rFonts w:eastAsia="TimesNewRoman"/>
        </w:rPr>
        <w:t>15</w:t>
      </w:r>
      <w:r w:rsidRPr="00621BC8">
        <w:rPr>
          <w:rFonts w:eastAsia="TimesNewRoman"/>
        </w:rPr>
        <w:t xml:space="preserve"> [20</w:t>
      </w:r>
      <w:r w:rsidR="008F08E0">
        <w:rPr>
          <w:rFonts w:eastAsia="TimesNewRoman"/>
        </w:rPr>
        <w:t>23</w:t>
      </w:r>
      <w:r w:rsidRPr="00621BC8">
        <w:rPr>
          <w:rFonts w:eastAsia="TimesNewRoman"/>
        </w:rPr>
        <w:t xml:space="preserve">]. </w:t>
      </w:r>
      <w:r w:rsidR="008047A0" w:rsidRPr="00621BC8">
        <w:rPr>
          <w:rFonts w:eastAsia="TimesNewRoman"/>
        </w:rPr>
        <w:t>As of</w:t>
      </w:r>
      <w:r w:rsidRPr="00621BC8">
        <w:rPr>
          <w:rFonts w:eastAsia="TimesNewRoman"/>
        </w:rPr>
        <w:t xml:space="preserve"> </w:t>
      </w:r>
      <w:r w:rsidR="005169A9">
        <w:rPr>
          <w:rFonts w:eastAsia="TimesNewRoman"/>
        </w:rPr>
        <w:t>6 September</w:t>
      </w:r>
      <w:r w:rsidRPr="00621BC8">
        <w:rPr>
          <w:rFonts w:eastAsia="TimesNewRoman"/>
        </w:rPr>
        <w:t xml:space="preserve"> 2024, the anti-dumping </w:t>
      </w:r>
      <w:r w:rsidR="008047A0" w:rsidRPr="00621BC8">
        <w:rPr>
          <w:rFonts w:eastAsia="TimesNewRoman"/>
        </w:rPr>
        <w:t xml:space="preserve">measures applied to imports of </w:t>
      </w:r>
      <w:r w:rsidR="008F08E0">
        <w:rPr>
          <w:rFonts w:eastAsia="TimesNewRoman"/>
        </w:rPr>
        <w:t>phenol</w:t>
      </w:r>
      <w:r w:rsidRPr="00621BC8">
        <w:rPr>
          <w:rFonts w:eastAsia="TimesNewRoman"/>
        </w:rPr>
        <w:t xml:space="preserve"> originating in the UK </w:t>
      </w:r>
      <w:r w:rsidR="00021DE8">
        <w:rPr>
          <w:rFonts w:eastAsia="TimesNewRoman"/>
        </w:rPr>
        <w:t xml:space="preserve">will </w:t>
      </w:r>
      <w:r w:rsidRPr="00621BC8">
        <w:rPr>
          <w:rFonts w:eastAsia="TimesNewRoman"/>
        </w:rPr>
        <w:t>expire and terminate.</w:t>
      </w:r>
    </w:p>
    <w:p w:rsidR="00DB5909" w:rsidRPr="00621BC8" w:rsidRDefault="00DB5909" w:rsidP="00DB5909">
      <w:pPr>
        <w:autoSpaceDE w:val="0"/>
        <w:autoSpaceDN w:val="0"/>
        <w:adjustRightInd w:val="0"/>
        <w:jc w:val="both"/>
        <w:rPr>
          <w:rFonts w:eastAsia="TimesNewRoman"/>
        </w:rPr>
      </w:pPr>
    </w:p>
    <w:p w:rsidR="00DB5909" w:rsidRPr="00621BC8" w:rsidRDefault="00DB5909" w:rsidP="00DB5909">
      <w:pPr>
        <w:autoSpaceDE w:val="0"/>
        <w:autoSpaceDN w:val="0"/>
        <w:adjustRightInd w:val="0"/>
        <w:jc w:val="both"/>
        <w:rPr>
          <w:rFonts w:eastAsia="TimesNewRoman"/>
        </w:rPr>
      </w:pPr>
      <w:r w:rsidRPr="00621BC8">
        <w:rPr>
          <w:rFonts w:eastAsia="TimesNewRoman"/>
        </w:rPr>
        <w:t xml:space="preserve">The anti-dumping </w:t>
      </w:r>
      <w:r w:rsidR="008047A0" w:rsidRPr="00621BC8">
        <w:rPr>
          <w:rFonts w:eastAsia="TimesNewRoman"/>
        </w:rPr>
        <w:t>tariff</w:t>
      </w:r>
      <w:r w:rsidRPr="00621BC8">
        <w:rPr>
          <w:rFonts w:eastAsia="TimesNewRoman"/>
        </w:rPr>
        <w:t xml:space="preserve"> rates imposed on the EU companies are as follows:</w:t>
      </w:r>
    </w:p>
    <w:p w:rsidR="00DB5909" w:rsidRPr="00621BC8" w:rsidRDefault="00DB5909" w:rsidP="00DB5909">
      <w:pPr>
        <w:autoSpaceDE w:val="0"/>
        <w:autoSpaceDN w:val="0"/>
        <w:adjustRightInd w:val="0"/>
        <w:jc w:val="both"/>
        <w:rPr>
          <w:rFonts w:eastAsia="TimesNewRoman"/>
        </w:rPr>
      </w:pPr>
    </w:p>
    <w:p w:rsidR="008047A0" w:rsidRPr="005169A9" w:rsidRDefault="005169A9" w:rsidP="000D5175">
      <w:pPr>
        <w:autoSpaceDE w:val="0"/>
        <w:autoSpaceDN w:val="0"/>
        <w:adjustRightInd w:val="0"/>
        <w:jc w:val="both"/>
        <w:rPr>
          <w:rFonts w:eastAsia="TimesNewRoman"/>
        </w:rPr>
      </w:pPr>
      <w:r w:rsidRPr="005169A9">
        <w:rPr>
          <w:rFonts w:eastAsia="TimesNewRoman"/>
        </w:rPr>
        <w:t>USA companies:</w:t>
      </w:r>
    </w:p>
    <w:p w:rsidR="005169A9" w:rsidRDefault="005169A9" w:rsidP="005169A9">
      <w:pPr>
        <w:numPr>
          <w:ilvl w:val="0"/>
          <w:numId w:val="2"/>
        </w:numPr>
        <w:autoSpaceDE w:val="0"/>
        <w:autoSpaceDN w:val="0"/>
        <w:adjustRightInd w:val="0"/>
        <w:jc w:val="both"/>
        <w:rPr>
          <w:rFonts w:eastAsia="TimesNewRoman"/>
        </w:rPr>
      </w:pPr>
      <w:r w:rsidRPr="005169A9">
        <w:rPr>
          <w:rFonts w:eastAsia="TimesNewRoman"/>
        </w:rPr>
        <w:t>INEOS Americas LLC</w:t>
      </w:r>
      <w:r w:rsidRPr="005169A9">
        <w:rPr>
          <w:rFonts w:eastAsia="TimesNewRoman"/>
        </w:rPr>
        <w:tab/>
      </w:r>
      <w:r w:rsidRPr="005169A9">
        <w:rPr>
          <w:rFonts w:eastAsia="TimesNewRoman"/>
        </w:rPr>
        <w:tab/>
      </w:r>
      <w:r w:rsidRPr="005169A9">
        <w:rPr>
          <w:rFonts w:eastAsia="TimesNewRoman"/>
        </w:rPr>
        <w:tab/>
        <w:t>287.2%</w:t>
      </w:r>
    </w:p>
    <w:p w:rsidR="005169A9" w:rsidRDefault="005169A9" w:rsidP="005169A9">
      <w:pPr>
        <w:numPr>
          <w:ilvl w:val="0"/>
          <w:numId w:val="2"/>
        </w:numPr>
        <w:autoSpaceDE w:val="0"/>
        <w:autoSpaceDN w:val="0"/>
        <w:adjustRightInd w:val="0"/>
        <w:jc w:val="both"/>
        <w:rPr>
          <w:rFonts w:eastAsia="TimesNewRoman"/>
        </w:rPr>
      </w:pPr>
      <w:r w:rsidRPr="005169A9">
        <w:rPr>
          <w:rFonts w:eastAsia="TimesNewRoman"/>
        </w:rPr>
        <w:t>Blue Cube Operations LLC</w:t>
      </w:r>
      <w:r>
        <w:rPr>
          <w:rFonts w:eastAsia="TimesNewRoman"/>
        </w:rPr>
        <w:tab/>
      </w:r>
      <w:r>
        <w:rPr>
          <w:rFonts w:eastAsia="TimesNewRoman"/>
        </w:rPr>
        <w:tab/>
      </w:r>
      <w:r>
        <w:rPr>
          <w:rFonts w:eastAsia="TimesNewRoman"/>
        </w:rPr>
        <w:tab/>
        <w:t>244.3%</w:t>
      </w:r>
    </w:p>
    <w:p w:rsidR="005169A9" w:rsidRDefault="005169A9" w:rsidP="005169A9">
      <w:pPr>
        <w:numPr>
          <w:ilvl w:val="0"/>
          <w:numId w:val="2"/>
        </w:numPr>
        <w:autoSpaceDE w:val="0"/>
        <w:autoSpaceDN w:val="0"/>
        <w:adjustRightInd w:val="0"/>
        <w:jc w:val="both"/>
        <w:rPr>
          <w:rFonts w:eastAsia="TimesNewRoman"/>
        </w:rPr>
      </w:pPr>
      <w:r>
        <w:rPr>
          <w:rFonts w:eastAsia="TimesNewRoman"/>
        </w:rPr>
        <w:t>Other USA companies</w:t>
      </w:r>
      <w:r>
        <w:rPr>
          <w:rFonts w:eastAsia="TimesNewRoman"/>
        </w:rPr>
        <w:tab/>
      </w:r>
      <w:r>
        <w:rPr>
          <w:rFonts w:eastAsia="TimesNewRoman"/>
        </w:rPr>
        <w:tab/>
      </w:r>
      <w:r>
        <w:rPr>
          <w:rFonts w:eastAsia="TimesNewRoman"/>
        </w:rPr>
        <w:tab/>
        <w:t>287.2%</w:t>
      </w:r>
    </w:p>
    <w:p w:rsidR="005169A9" w:rsidRDefault="005169A9" w:rsidP="005169A9">
      <w:pPr>
        <w:autoSpaceDE w:val="0"/>
        <w:autoSpaceDN w:val="0"/>
        <w:adjustRightInd w:val="0"/>
        <w:jc w:val="both"/>
        <w:rPr>
          <w:rFonts w:eastAsia="TimesNewRoman"/>
        </w:rPr>
      </w:pPr>
    </w:p>
    <w:p w:rsidR="005169A9" w:rsidRDefault="005169A9" w:rsidP="005169A9">
      <w:pPr>
        <w:autoSpaceDE w:val="0"/>
        <w:autoSpaceDN w:val="0"/>
        <w:adjustRightInd w:val="0"/>
        <w:jc w:val="both"/>
        <w:rPr>
          <w:rFonts w:eastAsia="TimesNewRoman"/>
        </w:rPr>
      </w:pPr>
      <w:r>
        <w:rPr>
          <w:rFonts w:eastAsia="TimesNewRoman"/>
        </w:rPr>
        <w:t>EU companies:</w:t>
      </w:r>
    </w:p>
    <w:p w:rsidR="005169A9" w:rsidRDefault="005169A9" w:rsidP="005169A9">
      <w:pPr>
        <w:autoSpaceDE w:val="0"/>
        <w:autoSpaceDN w:val="0"/>
        <w:adjustRightInd w:val="0"/>
        <w:ind w:firstLine="720"/>
        <w:jc w:val="both"/>
        <w:rPr>
          <w:rFonts w:eastAsia="TimesNewRoman"/>
        </w:rPr>
      </w:pPr>
      <w:r>
        <w:rPr>
          <w:rFonts w:eastAsia="TimesNewRoman"/>
        </w:rPr>
        <w:t>All EU companies</w:t>
      </w:r>
      <w:r>
        <w:rPr>
          <w:rFonts w:eastAsia="TimesNewRoman"/>
        </w:rPr>
        <w:tab/>
      </w:r>
      <w:r>
        <w:rPr>
          <w:rFonts w:eastAsia="TimesNewRoman"/>
        </w:rPr>
        <w:tab/>
      </w:r>
      <w:r>
        <w:rPr>
          <w:rFonts w:eastAsia="TimesNewRoman"/>
        </w:rPr>
        <w:tab/>
      </w:r>
      <w:r>
        <w:rPr>
          <w:rFonts w:eastAsia="TimesNewRoman"/>
        </w:rPr>
        <w:tab/>
        <w:t>30.4%</w:t>
      </w:r>
    </w:p>
    <w:p w:rsidR="005169A9" w:rsidRDefault="005169A9" w:rsidP="005169A9">
      <w:pPr>
        <w:autoSpaceDE w:val="0"/>
        <w:autoSpaceDN w:val="0"/>
        <w:adjustRightInd w:val="0"/>
        <w:jc w:val="both"/>
        <w:rPr>
          <w:rFonts w:eastAsia="TimesNewRoman"/>
        </w:rPr>
      </w:pPr>
    </w:p>
    <w:p w:rsidR="005169A9" w:rsidRDefault="005169A9" w:rsidP="005169A9">
      <w:pPr>
        <w:autoSpaceDE w:val="0"/>
        <w:autoSpaceDN w:val="0"/>
        <w:adjustRightInd w:val="0"/>
        <w:jc w:val="both"/>
        <w:rPr>
          <w:rFonts w:eastAsia="TimesNewRoman"/>
        </w:rPr>
      </w:pPr>
      <w:r>
        <w:rPr>
          <w:rFonts w:eastAsia="TimesNewRoman"/>
        </w:rPr>
        <w:t>South Korea companies:</w:t>
      </w:r>
    </w:p>
    <w:p w:rsidR="00001164" w:rsidRDefault="00001164" w:rsidP="00001164">
      <w:pPr>
        <w:numPr>
          <w:ilvl w:val="0"/>
          <w:numId w:val="3"/>
        </w:numPr>
        <w:autoSpaceDE w:val="0"/>
        <w:autoSpaceDN w:val="0"/>
        <w:adjustRightInd w:val="0"/>
        <w:jc w:val="both"/>
        <w:rPr>
          <w:rFonts w:eastAsia="TimesNewRoman"/>
        </w:rPr>
      </w:pPr>
      <w:r w:rsidRPr="00001164">
        <w:rPr>
          <w:rFonts w:eastAsia="TimesNewRoman"/>
        </w:rPr>
        <w:t>KUMHO P&amp;B CHEMICALS, INC.</w:t>
      </w:r>
      <w:r>
        <w:rPr>
          <w:rFonts w:eastAsia="TimesNewRoman"/>
        </w:rPr>
        <w:tab/>
      </w:r>
      <w:r>
        <w:rPr>
          <w:rFonts w:eastAsia="TimesNewRoman"/>
        </w:rPr>
        <w:tab/>
        <w:t>12.5%</w:t>
      </w:r>
    </w:p>
    <w:p w:rsidR="00001164" w:rsidRDefault="00001164" w:rsidP="00001164">
      <w:pPr>
        <w:numPr>
          <w:ilvl w:val="0"/>
          <w:numId w:val="3"/>
        </w:numPr>
        <w:autoSpaceDE w:val="0"/>
        <w:autoSpaceDN w:val="0"/>
        <w:adjustRightInd w:val="0"/>
        <w:jc w:val="both"/>
        <w:rPr>
          <w:rFonts w:eastAsia="TimesNewRoman"/>
        </w:rPr>
      </w:pPr>
      <w:r w:rsidRPr="00001164">
        <w:rPr>
          <w:rFonts w:eastAsia="TimesNewRoman"/>
        </w:rPr>
        <w:t>LG CHEM, LTD.</w:t>
      </w:r>
      <w:r>
        <w:rPr>
          <w:rFonts w:eastAsia="TimesNewRoman"/>
        </w:rPr>
        <w:tab/>
      </w:r>
      <w:r>
        <w:rPr>
          <w:rFonts w:eastAsia="TimesNewRoman"/>
        </w:rPr>
        <w:tab/>
      </w:r>
      <w:r>
        <w:rPr>
          <w:rFonts w:eastAsia="TimesNewRoman"/>
        </w:rPr>
        <w:tab/>
      </w:r>
      <w:r>
        <w:rPr>
          <w:rFonts w:eastAsia="TimesNewRoman"/>
        </w:rPr>
        <w:tab/>
        <w:t>12.6%</w:t>
      </w:r>
    </w:p>
    <w:p w:rsidR="00001164" w:rsidRDefault="00001164" w:rsidP="00001164">
      <w:pPr>
        <w:numPr>
          <w:ilvl w:val="0"/>
          <w:numId w:val="3"/>
        </w:numPr>
        <w:autoSpaceDE w:val="0"/>
        <w:autoSpaceDN w:val="0"/>
        <w:adjustRightInd w:val="0"/>
        <w:jc w:val="both"/>
        <w:rPr>
          <w:rFonts w:eastAsia="TimesNewRoman"/>
        </w:rPr>
      </w:pPr>
      <w:r>
        <w:rPr>
          <w:rFonts w:eastAsia="TimesNewRoman"/>
        </w:rPr>
        <w:t>Other South Korea companies</w:t>
      </w:r>
      <w:r>
        <w:rPr>
          <w:rFonts w:eastAsia="TimesNewRoman"/>
        </w:rPr>
        <w:tab/>
      </w:r>
      <w:r>
        <w:rPr>
          <w:rFonts w:eastAsia="TimesNewRoman"/>
        </w:rPr>
        <w:tab/>
        <w:t>23.7%</w:t>
      </w:r>
    </w:p>
    <w:p w:rsidR="00001164" w:rsidRDefault="00001164" w:rsidP="00001164">
      <w:pPr>
        <w:autoSpaceDE w:val="0"/>
        <w:autoSpaceDN w:val="0"/>
        <w:adjustRightInd w:val="0"/>
        <w:jc w:val="both"/>
        <w:rPr>
          <w:rFonts w:eastAsia="TimesNewRoman"/>
        </w:rPr>
      </w:pPr>
    </w:p>
    <w:p w:rsidR="00001164" w:rsidRDefault="00001164" w:rsidP="00001164">
      <w:pPr>
        <w:autoSpaceDE w:val="0"/>
        <w:autoSpaceDN w:val="0"/>
        <w:adjustRightInd w:val="0"/>
        <w:jc w:val="both"/>
        <w:rPr>
          <w:rFonts w:eastAsia="TimesNewRoman"/>
        </w:rPr>
      </w:pPr>
      <w:r>
        <w:rPr>
          <w:rFonts w:eastAsia="TimesNewRoman"/>
        </w:rPr>
        <w:t>Japan companies:</w:t>
      </w:r>
    </w:p>
    <w:p w:rsidR="00001164" w:rsidRDefault="00001164" w:rsidP="00001164">
      <w:pPr>
        <w:numPr>
          <w:ilvl w:val="0"/>
          <w:numId w:val="4"/>
        </w:numPr>
        <w:autoSpaceDE w:val="0"/>
        <w:autoSpaceDN w:val="0"/>
        <w:adjustRightInd w:val="0"/>
        <w:jc w:val="both"/>
        <w:rPr>
          <w:rFonts w:eastAsia="TimesNewRoman"/>
        </w:rPr>
      </w:pPr>
      <w:r w:rsidRPr="00001164">
        <w:rPr>
          <w:rFonts w:eastAsia="TimesNewRoman"/>
        </w:rPr>
        <w:t>Mitsui Chemicals, Inc.</w:t>
      </w:r>
      <w:r>
        <w:rPr>
          <w:rFonts w:eastAsia="TimesNewRoman"/>
        </w:rPr>
        <w:tab/>
      </w:r>
      <w:r>
        <w:rPr>
          <w:rFonts w:eastAsia="TimesNewRoman"/>
        </w:rPr>
        <w:tab/>
      </w:r>
      <w:r>
        <w:rPr>
          <w:rFonts w:eastAsia="TimesNewRoman"/>
        </w:rPr>
        <w:tab/>
        <w:t>19.3%</w:t>
      </w:r>
    </w:p>
    <w:p w:rsidR="00001164" w:rsidRDefault="00001164" w:rsidP="00001164">
      <w:pPr>
        <w:numPr>
          <w:ilvl w:val="0"/>
          <w:numId w:val="4"/>
        </w:numPr>
        <w:autoSpaceDE w:val="0"/>
        <w:autoSpaceDN w:val="0"/>
        <w:adjustRightInd w:val="0"/>
        <w:jc w:val="both"/>
        <w:rPr>
          <w:rFonts w:eastAsia="TimesNewRoman"/>
        </w:rPr>
      </w:pPr>
      <w:r>
        <w:rPr>
          <w:rFonts w:eastAsia="TimesNewRoman"/>
        </w:rPr>
        <w:t>Other Japan companies</w:t>
      </w:r>
      <w:r>
        <w:rPr>
          <w:rFonts w:eastAsia="TimesNewRoman"/>
        </w:rPr>
        <w:tab/>
      </w:r>
      <w:r>
        <w:rPr>
          <w:rFonts w:eastAsia="TimesNewRoman"/>
        </w:rPr>
        <w:tab/>
      </w:r>
      <w:r>
        <w:rPr>
          <w:rFonts w:eastAsia="TimesNewRoman"/>
        </w:rPr>
        <w:tab/>
        <w:t>27.0%</w:t>
      </w:r>
    </w:p>
    <w:p w:rsidR="00001164" w:rsidRDefault="00001164" w:rsidP="00001164">
      <w:pPr>
        <w:autoSpaceDE w:val="0"/>
        <w:autoSpaceDN w:val="0"/>
        <w:adjustRightInd w:val="0"/>
        <w:jc w:val="both"/>
        <w:rPr>
          <w:rFonts w:eastAsia="TimesNewRoman"/>
        </w:rPr>
      </w:pPr>
    </w:p>
    <w:p w:rsidR="00001164" w:rsidRDefault="00001164" w:rsidP="00001164">
      <w:pPr>
        <w:autoSpaceDE w:val="0"/>
        <w:autoSpaceDN w:val="0"/>
        <w:adjustRightInd w:val="0"/>
        <w:jc w:val="both"/>
        <w:rPr>
          <w:rFonts w:eastAsia="TimesNewRoman"/>
        </w:rPr>
      </w:pPr>
      <w:r>
        <w:rPr>
          <w:rFonts w:eastAsia="TimesNewRoman"/>
        </w:rPr>
        <w:t>Thailand companies:</w:t>
      </w:r>
    </w:p>
    <w:p w:rsidR="00001164" w:rsidRDefault="00001164" w:rsidP="00001164">
      <w:pPr>
        <w:numPr>
          <w:ilvl w:val="0"/>
          <w:numId w:val="5"/>
        </w:numPr>
        <w:autoSpaceDE w:val="0"/>
        <w:autoSpaceDN w:val="0"/>
        <w:adjustRightInd w:val="0"/>
        <w:jc w:val="both"/>
        <w:rPr>
          <w:rFonts w:eastAsia="TimesNewRoman"/>
        </w:rPr>
      </w:pPr>
      <w:r w:rsidRPr="00001164">
        <w:rPr>
          <w:rFonts w:eastAsia="TimesNewRoman"/>
        </w:rPr>
        <w:t>PTT Global Chemical Public Company Limited</w:t>
      </w:r>
      <w:r>
        <w:rPr>
          <w:rFonts w:eastAsia="TimesNewRoman"/>
        </w:rPr>
        <w:tab/>
        <w:t>10.6%</w:t>
      </w:r>
    </w:p>
    <w:p w:rsidR="00001164" w:rsidRDefault="00001164" w:rsidP="00001164">
      <w:pPr>
        <w:numPr>
          <w:ilvl w:val="0"/>
          <w:numId w:val="5"/>
        </w:numPr>
        <w:autoSpaceDE w:val="0"/>
        <w:autoSpaceDN w:val="0"/>
        <w:adjustRightInd w:val="0"/>
        <w:jc w:val="both"/>
        <w:rPr>
          <w:rFonts w:eastAsia="TimesNewRoman"/>
        </w:rPr>
      </w:pPr>
      <w:r>
        <w:rPr>
          <w:rFonts w:eastAsia="TimesNewRoman"/>
        </w:rPr>
        <w:t>Other Thailand companies</w:t>
      </w:r>
      <w:r>
        <w:rPr>
          <w:rFonts w:eastAsia="TimesNewRoman"/>
        </w:rPr>
        <w:tab/>
      </w:r>
      <w:r>
        <w:rPr>
          <w:rFonts w:eastAsia="TimesNewRoman"/>
        </w:rPr>
        <w:tab/>
      </w:r>
      <w:r>
        <w:rPr>
          <w:rFonts w:eastAsia="TimesNewRoman"/>
        </w:rPr>
        <w:tab/>
        <w:t>28.3%</w:t>
      </w:r>
    </w:p>
    <w:p w:rsidR="00001164" w:rsidRDefault="00001164" w:rsidP="00001164">
      <w:pPr>
        <w:autoSpaceDE w:val="0"/>
        <w:autoSpaceDN w:val="0"/>
        <w:adjustRightInd w:val="0"/>
        <w:jc w:val="both"/>
        <w:rPr>
          <w:rFonts w:eastAsia="TimesNewRoman"/>
        </w:rPr>
      </w:pPr>
    </w:p>
    <w:p w:rsidR="008047A0" w:rsidRPr="00621BC8" w:rsidRDefault="00C77E9F" w:rsidP="000D5175">
      <w:pPr>
        <w:autoSpaceDE w:val="0"/>
        <w:autoSpaceDN w:val="0"/>
        <w:adjustRightInd w:val="0"/>
        <w:jc w:val="both"/>
        <w:rPr>
          <w:rFonts w:eastAsia="TimesNewRoman,Bold"/>
          <w:b/>
          <w:bCs/>
        </w:rPr>
      </w:pPr>
      <w:r w:rsidRPr="00621BC8">
        <w:rPr>
          <w:rFonts w:eastAsia="TimesNewRoman,Bold"/>
          <w:b/>
          <w:bCs/>
        </w:rPr>
        <w:t xml:space="preserve">II. </w:t>
      </w:r>
      <w:r w:rsidR="008047A0" w:rsidRPr="00621BC8">
        <w:rPr>
          <w:rFonts w:eastAsia="TimesNewRoman,Bold"/>
          <w:b/>
          <w:bCs/>
        </w:rPr>
        <w:t>Period of the review investigation</w:t>
      </w:r>
    </w:p>
    <w:p w:rsidR="008047A0" w:rsidRPr="00621BC8" w:rsidRDefault="008047A0" w:rsidP="000D5175">
      <w:pPr>
        <w:autoSpaceDE w:val="0"/>
        <w:autoSpaceDN w:val="0"/>
        <w:adjustRightInd w:val="0"/>
        <w:jc w:val="both"/>
        <w:rPr>
          <w:rFonts w:eastAsia="TimesNewRoman"/>
        </w:rPr>
      </w:pPr>
    </w:p>
    <w:p w:rsidR="008047A0" w:rsidRPr="00621BC8" w:rsidRDefault="008047A0" w:rsidP="000D5175">
      <w:pPr>
        <w:autoSpaceDE w:val="0"/>
        <w:autoSpaceDN w:val="0"/>
        <w:adjustRightInd w:val="0"/>
        <w:jc w:val="both"/>
        <w:rPr>
          <w:rFonts w:eastAsia="TimesNewRoman"/>
        </w:rPr>
      </w:pPr>
      <w:r w:rsidRPr="00621BC8">
        <w:rPr>
          <w:rFonts w:eastAsia="TimesNewRoman"/>
        </w:rPr>
        <w:t xml:space="preserve">The dumping investigation period for this review is from 1 </w:t>
      </w:r>
      <w:r w:rsidR="00001164">
        <w:rPr>
          <w:rFonts w:eastAsia="TimesNewRoman"/>
        </w:rPr>
        <w:t>April</w:t>
      </w:r>
      <w:r w:rsidRPr="00621BC8">
        <w:rPr>
          <w:rFonts w:eastAsia="TimesNewRoman"/>
        </w:rPr>
        <w:t xml:space="preserve"> 2023 to </w:t>
      </w:r>
      <w:r w:rsidR="00001164">
        <w:rPr>
          <w:rFonts w:eastAsia="TimesNewRoman"/>
        </w:rPr>
        <w:t>31 March 2024</w:t>
      </w:r>
      <w:r w:rsidRPr="00621BC8">
        <w:rPr>
          <w:rFonts w:eastAsia="TimesNewRoman"/>
        </w:rPr>
        <w:t xml:space="preserve">, and the industrial injury investigation period is from 1 January </w:t>
      </w:r>
      <w:r w:rsidR="00001164">
        <w:rPr>
          <w:rFonts w:eastAsia="TimesNewRoman"/>
        </w:rPr>
        <w:t>2020</w:t>
      </w:r>
      <w:r w:rsidRPr="00621BC8">
        <w:rPr>
          <w:rFonts w:eastAsia="TimesNewRoman"/>
        </w:rPr>
        <w:t xml:space="preserve"> to 31 </w:t>
      </w:r>
      <w:r w:rsidR="00001164">
        <w:rPr>
          <w:rFonts w:eastAsia="TimesNewRoman"/>
        </w:rPr>
        <w:t>March 2024</w:t>
      </w:r>
      <w:r w:rsidRPr="00621BC8">
        <w:rPr>
          <w:rFonts w:eastAsia="TimesNewRoman"/>
        </w:rPr>
        <w:t>.</w:t>
      </w:r>
    </w:p>
    <w:p w:rsidR="008047A0" w:rsidRPr="00621BC8" w:rsidRDefault="008047A0" w:rsidP="000D5175">
      <w:pPr>
        <w:autoSpaceDE w:val="0"/>
        <w:autoSpaceDN w:val="0"/>
        <w:adjustRightInd w:val="0"/>
        <w:jc w:val="both"/>
        <w:rPr>
          <w:rFonts w:eastAsia="TimesNewRoman"/>
        </w:rPr>
      </w:pPr>
    </w:p>
    <w:p w:rsidR="00C77E9F" w:rsidRPr="00621BC8" w:rsidRDefault="008047A0" w:rsidP="000D5175">
      <w:pPr>
        <w:autoSpaceDE w:val="0"/>
        <w:autoSpaceDN w:val="0"/>
        <w:adjustRightInd w:val="0"/>
        <w:jc w:val="both"/>
        <w:rPr>
          <w:rFonts w:eastAsia="TimesNewRoman,Bold"/>
          <w:b/>
          <w:bCs/>
        </w:rPr>
      </w:pPr>
      <w:r w:rsidRPr="00621BC8">
        <w:rPr>
          <w:rFonts w:eastAsia="TimesNewRoman,Bold"/>
          <w:b/>
          <w:bCs/>
        </w:rPr>
        <w:t xml:space="preserve">III. </w:t>
      </w:r>
      <w:r w:rsidR="00C77E9F" w:rsidRPr="00621BC8">
        <w:rPr>
          <w:rFonts w:eastAsia="TimesNewRoman,Bold"/>
          <w:b/>
          <w:bCs/>
        </w:rPr>
        <w:t xml:space="preserve">The </w:t>
      </w:r>
      <w:r w:rsidRPr="00621BC8">
        <w:rPr>
          <w:rFonts w:eastAsia="TimesNewRoman,Bold"/>
          <w:b/>
          <w:bCs/>
        </w:rPr>
        <w:t>product</w:t>
      </w:r>
      <w:r w:rsidR="00C77E9F" w:rsidRPr="00621BC8">
        <w:rPr>
          <w:rFonts w:eastAsia="TimesNewRoman,Bold"/>
          <w:b/>
          <w:bCs/>
        </w:rPr>
        <w:t xml:space="preserve"> </w:t>
      </w:r>
      <w:r w:rsidRPr="00621BC8">
        <w:rPr>
          <w:rFonts w:eastAsia="TimesNewRoman,Bold"/>
          <w:b/>
          <w:bCs/>
        </w:rPr>
        <w:t>s</w:t>
      </w:r>
      <w:r w:rsidR="00C77E9F" w:rsidRPr="00621BC8">
        <w:rPr>
          <w:rFonts w:eastAsia="TimesNewRoman,Bold"/>
          <w:b/>
          <w:bCs/>
        </w:rPr>
        <w:t>cope</w:t>
      </w:r>
      <w:r w:rsidRPr="00621BC8">
        <w:rPr>
          <w:rFonts w:eastAsia="TimesNewRoman,Bold"/>
          <w:b/>
          <w:bCs/>
        </w:rPr>
        <w:t xml:space="preserve"> of the review</w:t>
      </w:r>
    </w:p>
    <w:p w:rsidR="00C77E9F" w:rsidRPr="00621BC8" w:rsidRDefault="00C77E9F" w:rsidP="000D5175">
      <w:pPr>
        <w:jc w:val="both"/>
        <w:rPr>
          <w:rFonts w:eastAsia="TimesNewRoman,Bold"/>
          <w:b/>
          <w:bCs/>
        </w:rPr>
      </w:pPr>
    </w:p>
    <w:p w:rsidR="00691C06" w:rsidRPr="00621BC8" w:rsidRDefault="00691C06" w:rsidP="000D5175">
      <w:pPr>
        <w:jc w:val="both"/>
        <w:rPr>
          <w:rFonts w:eastAsia="TimesNewRoman,Bold"/>
          <w:bCs/>
        </w:rPr>
      </w:pPr>
      <w:r w:rsidRPr="00621BC8">
        <w:rPr>
          <w:rFonts w:eastAsia="TimesNewRoman,Bold"/>
          <w:bCs/>
        </w:rPr>
        <w:t xml:space="preserve">The product scope of this review is the same as </w:t>
      </w:r>
      <w:r w:rsidR="00A97DDE">
        <w:rPr>
          <w:rFonts w:eastAsia="TimesNewRoman,Bold"/>
          <w:bCs/>
        </w:rPr>
        <w:t xml:space="preserve">that </w:t>
      </w:r>
      <w:r w:rsidRPr="00621BC8">
        <w:rPr>
          <w:rFonts w:eastAsia="TimesNewRoman,Bold"/>
          <w:bCs/>
        </w:rPr>
        <w:t xml:space="preserve">the original anti-dumping measures applied, and is consistent with that of the </w:t>
      </w:r>
      <w:r w:rsidRPr="00621BC8">
        <w:rPr>
          <w:rFonts w:eastAsia="TimesNewRoman"/>
        </w:rPr>
        <w:t xml:space="preserve">Notice No. </w:t>
      </w:r>
      <w:r w:rsidR="00001164">
        <w:rPr>
          <w:rFonts w:eastAsia="TimesNewRoman"/>
        </w:rPr>
        <w:t>37</w:t>
      </w:r>
      <w:r w:rsidRPr="00621BC8">
        <w:rPr>
          <w:rFonts w:eastAsia="TimesNewRoman"/>
        </w:rPr>
        <w:t xml:space="preserve"> [201</w:t>
      </w:r>
      <w:r w:rsidR="00001164">
        <w:rPr>
          <w:rFonts w:eastAsia="TimesNewRoman"/>
        </w:rPr>
        <w:t>9</w:t>
      </w:r>
      <w:r w:rsidRPr="00621BC8">
        <w:rPr>
          <w:rFonts w:eastAsia="TimesNewRoman"/>
        </w:rPr>
        <w:t xml:space="preserve">], </w:t>
      </w:r>
      <w:r w:rsidRPr="00621BC8">
        <w:rPr>
          <w:rFonts w:eastAsia="TimesNewRoman,Bold"/>
          <w:bCs/>
        </w:rPr>
        <w:t>as follows.</w:t>
      </w:r>
    </w:p>
    <w:p w:rsidR="00691C06" w:rsidRPr="00621BC8" w:rsidRDefault="00691C06" w:rsidP="000D5175">
      <w:pPr>
        <w:jc w:val="both"/>
        <w:rPr>
          <w:rFonts w:eastAsia="TimesNewRoman,Bold"/>
          <w:bCs/>
        </w:rPr>
      </w:pPr>
    </w:p>
    <w:p w:rsidR="00691C06" w:rsidRPr="00621BC8" w:rsidRDefault="00691C06" w:rsidP="000D5175">
      <w:pPr>
        <w:jc w:val="both"/>
        <w:rPr>
          <w:rFonts w:eastAsia="TimesNewRoman,Bold"/>
          <w:bCs/>
        </w:rPr>
      </w:pPr>
      <w:r w:rsidRPr="00621BC8">
        <w:rPr>
          <w:rFonts w:eastAsia="TimesNewRoman,Bold"/>
          <w:bCs/>
        </w:rPr>
        <w:t xml:space="preserve">The product under investigation: </w:t>
      </w:r>
      <w:r w:rsidR="008F08E0">
        <w:rPr>
          <w:rFonts w:eastAsia="TimesNewRoman,Bold"/>
          <w:bCs/>
        </w:rPr>
        <w:t>Phenol</w:t>
      </w:r>
    </w:p>
    <w:p w:rsidR="00691C06" w:rsidRPr="00621BC8" w:rsidRDefault="00691C06" w:rsidP="000D5175">
      <w:pPr>
        <w:jc w:val="both"/>
        <w:rPr>
          <w:rFonts w:eastAsia="TimesNewRoman,Bold"/>
          <w:bCs/>
        </w:rPr>
      </w:pPr>
    </w:p>
    <w:p w:rsidR="00691C06" w:rsidRPr="00621BC8" w:rsidRDefault="00691C06" w:rsidP="000D5175">
      <w:pPr>
        <w:jc w:val="both"/>
        <w:rPr>
          <w:rFonts w:eastAsia="TimesNewRoman,Bold"/>
          <w:bCs/>
        </w:rPr>
      </w:pPr>
      <w:r w:rsidRPr="00621BC8">
        <w:rPr>
          <w:rFonts w:eastAsia="TimesNewRoman,Bold"/>
          <w:bCs/>
        </w:rPr>
        <w:t xml:space="preserve">Formula: </w:t>
      </w:r>
      <w:r w:rsidR="00445351">
        <w:rPr>
          <w:rFonts w:ascii="Helvetica" w:hAnsi="Helvetica" w:cs="Helvetica"/>
          <w:color w:val="262626"/>
          <w:sz w:val="27"/>
          <w:szCs w:val="27"/>
        </w:rPr>
        <w:t>C</w:t>
      </w:r>
      <w:r w:rsidR="00445351">
        <w:rPr>
          <w:rFonts w:ascii="Helvetica" w:hAnsi="Helvetica" w:cs="Helvetica"/>
          <w:color w:val="262626"/>
          <w:sz w:val="20"/>
          <w:szCs w:val="20"/>
          <w:bdr w:val="none" w:sz="0" w:space="0" w:color="auto" w:frame="1"/>
          <w:vertAlign w:val="subscript"/>
        </w:rPr>
        <w:t>6</w:t>
      </w:r>
      <w:r w:rsidR="00445351">
        <w:rPr>
          <w:rFonts w:ascii="Helvetica" w:hAnsi="Helvetica" w:cs="Helvetica"/>
          <w:color w:val="262626"/>
          <w:sz w:val="27"/>
          <w:szCs w:val="27"/>
        </w:rPr>
        <w:t>H</w:t>
      </w:r>
      <w:r w:rsidR="00445351">
        <w:rPr>
          <w:rFonts w:ascii="Helvetica" w:hAnsi="Helvetica" w:cs="Helvetica"/>
          <w:color w:val="262626"/>
          <w:sz w:val="20"/>
          <w:szCs w:val="20"/>
          <w:bdr w:val="none" w:sz="0" w:space="0" w:color="auto" w:frame="1"/>
          <w:vertAlign w:val="subscript"/>
        </w:rPr>
        <w:t>5</w:t>
      </w:r>
      <w:r w:rsidR="00445351">
        <w:rPr>
          <w:rFonts w:ascii="Helvetica" w:hAnsi="Helvetica" w:cs="Helvetica"/>
          <w:color w:val="262626"/>
          <w:sz w:val="27"/>
          <w:szCs w:val="27"/>
        </w:rPr>
        <w:t>OH</w:t>
      </w:r>
    </w:p>
    <w:p w:rsidR="00691C06" w:rsidRPr="00621BC8" w:rsidRDefault="00691C06" w:rsidP="000D5175">
      <w:pPr>
        <w:jc w:val="both"/>
        <w:rPr>
          <w:rFonts w:eastAsia="TimesNewRoman,Bold"/>
          <w:bCs/>
        </w:rPr>
      </w:pPr>
    </w:p>
    <w:p w:rsidR="00445351" w:rsidRDefault="00445351" w:rsidP="000D5175">
      <w:pPr>
        <w:jc w:val="both"/>
        <w:rPr>
          <w:rFonts w:eastAsia="TimesNewRoman,Bold"/>
          <w:bCs/>
        </w:rPr>
      </w:pPr>
      <w:r>
        <w:rPr>
          <w:rFonts w:eastAsia="TimesNewRoman,Bold"/>
          <w:bCs/>
        </w:rPr>
        <w:lastRenderedPageBreak/>
        <w:t>Chemical structure:</w:t>
      </w:r>
    </w:p>
    <w:p w:rsidR="00445351" w:rsidRDefault="00445351" w:rsidP="000D5175">
      <w:pPr>
        <w:jc w:val="both"/>
        <w:rPr>
          <w:rFonts w:eastAsia="TimesNewRoman,Bold"/>
          <w:bCs/>
        </w:rPr>
      </w:pPr>
    </w:p>
    <w:p w:rsidR="00445351" w:rsidRDefault="00D74B30" w:rsidP="000D5175">
      <w:pPr>
        <w:jc w:val="both"/>
        <w:rPr>
          <w:rFonts w:eastAsia="TimesNewRoman,Bold"/>
          <w:bCs/>
        </w:rPr>
      </w:pPr>
      <w:r w:rsidRPr="00445351">
        <w:rPr>
          <w:rFonts w:eastAsia="TimesNewRoman,Bold"/>
          <w:noProof/>
        </w:rPr>
        <w:drawing>
          <wp:inline distT="0" distB="0" distL="0" distR="0">
            <wp:extent cx="762000" cy="8229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822960"/>
                    </a:xfrm>
                    <a:prstGeom prst="rect">
                      <a:avLst/>
                    </a:prstGeom>
                    <a:noFill/>
                    <a:ln>
                      <a:noFill/>
                    </a:ln>
                  </pic:spPr>
                </pic:pic>
              </a:graphicData>
            </a:graphic>
          </wp:inline>
        </w:drawing>
      </w:r>
    </w:p>
    <w:p w:rsidR="00445351" w:rsidRDefault="00445351" w:rsidP="000D5175">
      <w:pPr>
        <w:jc w:val="both"/>
        <w:rPr>
          <w:rFonts w:eastAsia="TimesNewRoman,Bold"/>
          <w:bCs/>
        </w:rPr>
      </w:pPr>
    </w:p>
    <w:p w:rsidR="00445351" w:rsidRPr="00445351" w:rsidRDefault="00445351" w:rsidP="00445351">
      <w:pPr>
        <w:jc w:val="both"/>
        <w:rPr>
          <w:rFonts w:eastAsia="TimesNewRoman,Bold"/>
          <w:bCs/>
        </w:rPr>
      </w:pPr>
      <w:r w:rsidRPr="00445351">
        <w:rPr>
          <w:rFonts w:eastAsia="TimesNewRoman,Bold"/>
          <w:bCs/>
        </w:rPr>
        <w:t>Product Description: Phenol is usually colourless needle-like or white lumpy crystals at room temperature, soluble in alcohol, ether, chloroform, glycerol, carbon disulphide, slightly soluble in water at room temperature, almost insoluble in petroleum ether, corrosive, combustible.</w:t>
      </w:r>
    </w:p>
    <w:p w:rsidR="00445351" w:rsidRPr="00445351" w:rsidRDefault="00445351" w:rsidP="00445351">
      <w:pPr>
        <w:jc w:val="both"/>
        <w:rPr>
          <w:rFonts w:eastAsia="TimesNewRoman,Bold"/>
          <w:bCs/>
        </w:rPr>
      </w:pPr>
    </w:p>
    <w:p w:rsidR="00445351" w:rsidRDefault="00445351" w:rsidP="00445351">
      <w:pPr>
        <w:jc w:val="both"/>
        <w:rPr>
          <w:rFonts w:eastAsia="TimesNewRoman,Bold"/>
          <w:bCs/>
        </w:rPr>
      </w:pPr>
      <w:r w:rsidRPr="00445351">
        <w:rPr>
          <w:rFonts w:eastAsia="TimesNewRoman,Bold"/>
          <w:bCs/>
        </w:rPr>
        <w:t>Main uses: Phenol is an important organic chemical material, mainly used in the preparation of phenolic resins, bisphenol A, caprolactam, alkylphenol, salicylic acid and other industrial raw materials, but also can be used as solvents, reagents and disinfectants, widely used in synthetic fibres, plastics, pharmaceuticals, pesticides, fragrances, dyes, paints and refining industry and other fields.</w:t>
      </w:r>
    </w:p>
    <w:p w:rsidR="00445351" w:rsidRDefault="00445351" w:rsidP="000D5175">
      <w:pPr>
        <w:jc w:val="both"/>
        <w:rPr>
          <w:rFonts w:eastAsia="TimesNewRoman,Bold" w:hint="eastAsia"/>
          <w:bCs/>
        </w:rPr>
      </w:pPr>
    </w:p>
    <w:p w:rsidR="00C77E9F" w:rsidRPr="00621BC8" w:rsidRDefault="00F549FD" w:rsidP="000D5175">
      <w:pPr>
        <w:autoSpaceDE w:val="0"/>
        <w:autoSpaceDN w:val="0"/>
        <w:adjustRightInd w:val="0"/>
        <w:jc w:val="both"/>
        <w:rPr>
          <w:rFonts w:eastAsia="TimesNewRoman"/>
        </w:rPr>
      </w:pPr>
      <w:r w:rsidRPr="00621BC8">
        <w:rPr>
          <w:rFonts w:eastAsia="TimesNewRoman"/>
        </w:rPr>
        <w:t>The product</w:t>
      </w:r>
      <w:r w:rsidR="00C77E9F" w:rsidRPr="00621BC8">
        <w:rPr>
          <w:rFonts w:eastAsia="TimesNewRoman"/>
        </w:rPr>
        <w:t xml:space="preserve"> </w:t>
      </w:r>
      <w:r w:rsidRPr="00621BC8">
        <w:rPr>
          <w:rFonts w:eastAsia="TimesNewRoman"/>
        </w:rPr>
        <w:t>is</w:t>
      </w:r>
      <w:r w:rsidR="00C77E9F" w:rsidRPr="00621BC8">
        <w:rPr>
          <w:rFonts w:eastAsia="TimesNewRoman"/>
        </w:rPr>
        <w:t xml:space="preserve"> </w:t>
      </w:r>
      <w:r w:rsidR="00F2129E" w:rsidRPr="00621BC8">
        <w:rPr>
          <w:rFonts w:eastAsia="TimesNewRoman"/>
        </w:rPr>
        <w:t>classified</w:t>
      </w:r>
      <w:r w:rsidR="00C77E9F" w:rsidRPr="00621BC8">
        <w:rPr>
          <w:rFonts w:eastAsia="TimesNewRoman"/>
        </w:rPr>
        <w:t xml:space="preserve"> under the </w:t>
      </w:r>
      <w:r w:rsidR="00C77E9F" w:rsidRPr="00621BC8">
        <w:rPr>
          <w:rFonts w:eastAsia="TimesNewRoman,Italic"/>
          <w:i/>
          <w:iCs/>
        </w:rPr>
        <w:t>Customs Import and Export Tariff of the People’s Republic of China</w:t>
      </w:r>
      <w:r w:rsidR="00094173" w:rsidRPr="00621BC8">
        <w:rPr>
          <w:rFonts w:eastAsia="TimesNewRoman,Italic"/>
          <w:iCs/>
        </w:rPr>
        <w:t xml:space="preserve">: </w:t>
      </w:r>
      <w:r w:rsidR="00445351" w:rsidRPr="00445351">
        <w:rPr>
          <w:rFonts w:eastAsia="Microsoft YaHei"/>
          <w:color w:val="262626"/>
        </w:rPr>
        <w:t>29071110</w:t>
      </w:r>
      <w:r w:rsidR="006E788F" w:rsidRPr="00621BC8">
        <w:rPr>
          <w:rFonts w:eastAsia="TimesNewRoman,Italic"/>
          <w:iCs/>
        </w:rPr>
        <w:t xml:space="preserve">. </w:t>
      </w:r>
    </w:p>
    <w:p w:rsidR="00C77E9F" w:rsidRPr="00621BC8" w:rsidRDefault="00C77E9F" w:rsidP="000D5175">
      <w:pPr>
        <w:autoSpaceDE w:val="0"/>
        <w:autoSpaceDN w:val="0"/>
        <w:adjustRightInd w:val="0"/>
        <w:jc w:val="both"/>
        <w:rPr>
          <w:rFonts w:eastAsia="TimesNewRoman"/>
        </w:rPr>
      </w:pPr>
    </w:p>
    <w:p w:rsidR="00F549FD" w:rsidRPr="00621BC8" w:rsidRDefault="00F549FD" w:rsidP="00F549FD">
      <w:pPr>
        <w:autoSpaceDE w:val="0"/>
        <w:autoSpaceDN w:val="0"/>
        <w:adjustRightInd w:val="0"/>
        <w:rPr>
          <w:rFonts w:eastAsia="TimesNewRoman,Bold"/>
          <w:b/>
          <w:bCs/>
        </w:rPr>
      </w:pPr>
      <w:r w:rsidRPr="00621BC8">
        <w:rPr>
          <w:rFonts w:eastAsia="TimesNewRoman,Bold"/>
          <w:b/>
          <w:bCs/>
        </w:rPr>
        <w:t>IV. Content of review</w:t>
      </w:r>
    </w:p>
    <w:p w:rsidR="00F549FD" w:rsidRPr="00621BC8" w:rsidRDefault="00F549FD" w:rsidP="000D5175">
      <w:pPr>
        <w:autoSpaceDE w:val="0"/>
        <w:autoSpaceDN w:val="0"/>
        <w:adjustRightInd w:val="0"/>
        <w:jc w:val="both"/>
        <w:rPr>
          <w:rFonts w:eastAsia="TimesNewRoman"/>
        </w:rPr>
      </w:pPr>
    </w:p>
    <w:p w:rsidR="00F549FD" w:rsidRPr="00621BC8" w:rsidRDefault="00F549FD" w:rsidP="000D5175">
      <w:pPr>
        <w:autoSpaceDE w:val="0"/>
        <w:autoSpaceDN w:val="0"/>
        <w:adjustRightInd w:val="0"/>
        <w:jc w:val="both"/>
        <w:rPr>
          <w:rFonts w:eastAsia="TimesNewRoman"/>
        </w:rPr>
      </w:pPr>
      <w:r w:rsidRPr="00621BC8">
        <w:rPr>
          <w:rFonts w:eastAsia="TimesNewRoman"/>
        </w:rPr>
        <w:t xml:space="preserve">This review investigation is about whether the termination of anti-dumping measures on imports of </w:t>
      </w:r>
      <w:r w:rsidR="00445351" w:rsidRPr="00445351">
        <w:rPr>
          <w:rFonts w:eastAsia="TimesNewRoman"/>
        </w:rPr>
        <w:t xml:space="preserve">phenol originating in the USA, the EU, South Korea, Japan and Thailand </w:t>
      </w:r>
      <w:r w:rsidRPr="00621BC8">
        <w:rPr>
          <w:rFonts w:eastAsia="TimesNewRoman"/>
        </w:rPr>
        <w:t>is likely to lead to the continuation or recurrence of dumping and injury.</w:t>
      </w:r>
    </w:p>
    <w:p w:rsidR="00F549FD" w:rsidRPr="00621BC8" w:rsidRDefault="00F549FD" w:rsidP="000D5175">
      <w:pPr>
        <w:autoSpaceDE w:val="0"/>
        <w:autoSpaceDN w:val="0"/>
        <w:adjustRightInd w:val="0"/>
        <w:jc w:val="both"/>
        <w:rPr>
          <w:rFonts w:eastAsia="TimesNewRoman"/>
        </w:rPr>
      </w:pPr>
    </w:p>
    <w:p w:rsidR="00C77E9F" w:rsidRPr="00621BC8" w:rsidRDefault="00F549FD" w:rsidP="00C77E9F">
      <w:pPr>
        <w:autoSpaceDE w:val="0"/>
        <w:autoSpaceDN w:val="0"/>
        <w:adjustRightInd w:val="0"/>
        <w:rPr>
          <w:rFonts w:eastAsia="TimesNewRoman,Bold"/>
          <w:b/>
          <w:bCs/>
        </w:rPr>
      </w:pPr>
      <w:r w:rsidRPr="00621BC8">
        <w:rPr>
          <w:rFonts w:eastAsia="TimesNewRoman,Bold"/>
          <w:b/>
          <w:bCs/>
        </w:rPr>
        <w:t>V</w:t>
      </w:r>
      <w:r w:rsidR="00C77E9F" w:rsidRPr="00621BC8">
        <w:rPr>
          <w:rFonts w:eastAsia="TimesNewRoman,Bold"/>
          <w:b/>
          <w:bCs/>
        </w:rPr>
        <w:t>. Respondent Registration</w:t>
      </w:r>
    </w:p>
    <w:p w:rsidR="00C77E9F" w:rsidRPr="00621BC8" w:rsidRDefault="00C77E9F" w:rsidP="00C77E9F">
      <w:pPr>
        <w:autoSpaceDE w:val="0"/>
        <w:autoSpaceDN w:val="0"/>
        <w:adjustRightInd w:val="0"/>
        <w:rPr>
          <w:rFonts w:eastAsia="TimesNewRoman"/>
        </w:rPr>
      </w:pPr>
    </w:p>
    <w:p w:rsidR="000D5175" w:rsidRPr="00621BC8" w:rsidRDefault="000D5175" w:rsidP="000D5175">
      <w:pPr>
        <w:spacing w:after="240"/>
        <w:jc w:val="both"/>
        <w:rPr>
          <w:rFonts w:eastAsia="TimesNewRoman"/>
        </w:rPr>
      </w:pPr>
      <w:r w:rsidRPr="00621BC8">
        <w:t xml:space="preserve">Any interested party may, within 20 days of the publication of this </w:t>
      </w:r>
      <w:r w:rsidR="005368D2" w:rsidRPr="00621BC8">
        <w:t>notice</w:t>
      </w:r>
      <w:r w:rsidRPr="00621BC8">
        <w:t xml:space="preserve">, apply to the Bureau of Trade Remedy and Investigation of the Ministry of Commerce to participate in the </w:t>
      </w:r>
      <w:r w:rsidR="0019319B" w:rsidRPr="00621BC8">
        <w:t>expiry review</w:t>
      </w:r>
      <w:r w:rsidRPr="00621BC8">
        <w:t xml:space="preserve"> investigation. </w:t>
      </w:r>
      <w:r w:rsidRPr="00621BC8">
        <w:rPr>
          <w:rFonts w:eastAsia="TimesNewRoman"/>
        </w:rPr>
        <w:t xml:space="preserve">Interested parties should provide information in accordance with the reference registration form, such as basic identity information, quantity and value of the investigated products exported or imported into China, quantity and value of producing same kind products. The reference registration form can be downloaded from the website of the Trade Remedy and Investigation Bureau of the Ministry of Commerce. </w:t>
      </w:r>
    </w:p>
    <w:p w:rsidR="000D5175" w:rsidRPr="00621BC8" w:rsidRDefault="000D5175" w:rsidP="000D5175">
      <w:pPr>
        <w:spacing w:after="240"/>
        <w:jc w:val="both"/>
        <w:rPr>
          <w:rFonts w:eastAsia="TimesNewRoman"/>
        </w:rPr>
      </w:pPr>
      <w:r w:rsidRPr="00621BC8">
        <w:rPr>
          <w:rFonts w:eastAsia="TimesNewRoman"/>
        </w:rPr>
        <w:t>The interested parties registered to participate in this investigation shall submit electronic version through the Trade Remedy and Investigation Information Platform (</w:t>
      </w:r>
      <w:hyperlink r:id="rId8" w:history="1">
        <w:r w:rsidRPr="00621BC8">
          <w:rPr>
            <w:rStyle w:val="Hyperlink"/>
            <w:rFonts w:ascii="Times New Roman" w:eastAsia="TimesNewRoman" w:hAnsi="Times New Roman" w:cs="Times New Roman"/>
          </w:rPr>
          <w:t>https://etrb.mofcom.gov.cn</w:t>
        </w:r>
      </w:hyperlink>
      <w:r w:rsidRPr="00621BC8">
        <w:rPr>
          <w:rFonts w:eastAsia="TimesNewRoman"/>
        </w:rPr>
        <w:t xml:space="preserve">), and at the same time submit the written version according to the requirements of the Ministry of Commerce. The electronic version and the written version shall keep consistent in terms of content and format.   </w:t>
      </w:r>
    </w:p>
    <w:p w:rsidR="000D5175" w:rsidRPr="00621BC8" w:rsidRDefault="000D5175" w:rsidP="000D5175">
      <w:pPr>
        <w:jc w:val="both"/>
        <w:rPr>
          <w:u w:val="single"/>
        </w:rPr>
      </w:pPr>
      <w:r w:rsidRPr="00621BC8">
        <w:t xml:space="preserve">The interested parties in the </w:t>
      </w:r>
      <w:r w:rsidR="0051353E" w:rsidRPr="00621BC8">
        <w:t>notice</w:t>
      </w:r>
      <w:r w:rsidRPr="00621BC8">
        <w:t xml:space="preserve"> refer to the individuals and organisations defined in the Article 19 of the </w:t>
      </w:r>
      <w:r w:rsidRPr="00621BC8">
        <w:rPr>
          <w:i/>
        </w:rPr>
        <w:t>Anti-Dumping Regulation of the People's Republic of China</w:t>
      </w:r>
      <w:r w:rsidRPr="00621BC8">
        <w:t>.</w:t>
      </w:r>
    </w:p>
    <w:p w:rsidR="00C77E9F" w:rsidRPr="00621BC8" w:rsidRDefault="00C77E9F" w:rsidP="00C77E9F">
      <w:pPr>
        <w:autoSpaceDE w:val="0"/>
        <w:autoSpaceDN w:val="0"/>
        <w:adjustRightInd w:val="0"/>
        <w:rPr>
          <w:rFonts w:eastAsia="TimesNewRoman"/>
        </w:rPr>
      </w:pPr>
    </w:p>
    <w:p w:rsidR="00C77E9F" w:rsidRPr="00621BC8" w:rsidRDefault="00C77E9F" w:rsidP="00C77E9F">
      <w:pPr>
        <w:autoSpaceDE w:val="0"/>
        <w:autoSpaceDN w:val="0"/>
        <w:adjustRightInd w:val="0"/>
        <w:rPr>
          <w:rFonts w:eastAsia="TimesNewRoman,Bold"/>
          <w:b/>
          <w:bCs/>
        </w:rPr>
      </w:pPr>
      <w:r w:rsidRPr="00621BC8">
        <w:rPr>
          <w:rFonts w:eastAsia="TimesNewRoman,Bold"/>
          <w:b/>
          <w:bCs/>
        </w:rPr>
        <w:t>V</w:t>
      </w:r>
      <w:r w:rsidR="0019319B" w:rsidRPr="00621BC8">
        <w:rPr>
          <w:rFonts w:eastAsia="TimesNewRoman,Bold"/>
          <w:b/>
          <w:bCs/>
        </w:rPr>
        <w:t>I</w:t>
      </w:r>
      <w:r w:rsidRPr="00621BC8">
        <w:rPr>
          <w:rFonts w:eastAsia="TimesNewRoman,Bold"/>
          <w:b/>
          <w:bCs/>
        </w:rPr>
        <w:t>. Access to Public Information</w:t>
      </w:r>
    </w:p>
    <w:p w:rsidR="00C77E9F" w:rsidRPr="00621BC8" w:rsidRDefault="00C77E9F" w:rsidP="00C77E9F">
      <w:pPr>
        <w:autoSpaceDE w:val="0"/>
        <w:autoSpaceDN w:val="0"/>
        <w:adjustRightInd w:val="0"/>
        <w:rPr>
          <w:rFonts w:eastAsia="TimesNewRoman"/>
        </w:rPr>
      </w:pPr>
    </w:p>
    <w:p w:rsidR="00C77E9F" w:rsidRPr="00621BC8" w:rsidRDefault="00C77E9F" w:rsidP="00412AF5">
      <w:pPr>
        <w:autoSpaceDE w:val="0"/>
        <w:autoSpaceDN w:val="0"/>
        <w:adjustRightInd w:val="0"/>
        <w:jc w:val="both"/>
        <w:rPr>
          <w:rFonts w:eastAsia="TimesNewRoman"/>
        </w:rPr>
      </w:pPr>
      <w:r w:rsidRPr="00621BC8">
        <w:rPr>
          <w:rFonts w:eastAsia="TimesNewRoman"/>
        </w:rPr>
        <w:lastRenderedPageBreak/>
        <w:t>The interested parties can download from relevant website or go to the Trade Remedy Public Information Office (phone number: 0086-10-65197878) to search, read and copy non-confidential documents</w:t>
      </w:r>
      <w:r w:rsidR="0051353E" w:rsidRPr="00621BC8">
        <w:rPr>
          <w:rFonts w:eastAsia="TimesNewRoman"/>
        </w:rPr>
        <w:t xml:space="preserve"> of the application</w:t>
      </w:r>
      <w:r w:rsidRPr="00621BC8">
        <w:rPr>
          <w:rFonts w:eastAsia="TimesNewRoman"/>
        </w:rPr>
        <w:t xml:space="preserve"> of the case.</w:t>
      </w:r>
      <w:r w:rsidR="00412AF5" w:rsidRPr="00621BC8">
        <w:rPr>
          <w:rFonts w:eastAsia="TimesNewRoman"/>
        </w:rPr>
        <w:t xml:space="preserve"> During the investigation, the interested parties can download from relevant website or go to the Trade Remedy Public Information Office to search, read and copy public information of the case.</w:t>
      </w:r>
    </w:p>
    <w:p w:rsidR="00C77E9F" w:rsidRPr="00621BC8" w:rsidRDefault="00C77E9F" w:rsidP="00C77E9F">
      <w:pPr>
        <w:autoSpaceDE w:val="0"/>
        <w:autoSpaceDN w:val="0"/>
        <w:adjustRightInd w:val="0"/>
        <w:rPr>
          <w:rFonts w:eastAsia="TimesNewRoman"/>
        </w:rPr>
      </w:pPr>
    </w:p>
    <w:p w:rsidR="00C77E9F" w:rsidRPr="00621BC8" w:rsidRDefault="00C77E9F" w:rsidP="00C77E9F">
      <w:pPr>
        <w:autoSpaceDE w:val="0"/>
        <w:autoSpaceDN w:val="0"/>
        <w:adjustRightInd w:val="0"/>
        <w:rPr>
          <w:rFonts w:eastAsia="TimesNewRoman,Bold"/>
          <w:b/>
          <w:bCs/>
        </w:rPr>
      </w:pPr>
      <w:r w:rsidRPr="00621BC8">
        <w:rPr>
          <w:rFonts w:eastAsia="TimesNewRoman,Bold"/>
          <w:b/>
          <w:bCs/>
        </w:rPr>
        <w:t>V</w:t>
      </w:r>
      <w:r w:rsidR="0019319B" w:rsidRPr="00621BC8">
        <w:rPr>
          <w:rFonts w:eastAsia="TimesNewRoman,Bold"/>
          <w:b/>
          <w:bCs/>
        </w:rPr>
        <w:t>II</w:t>
      </w:r>
      <w:r w:rsidRPr="00621BC8">
        <w:rPr>
          <w:rFonts w:eastAsia="TimesNewRoman,Bold"/>
          <w:b/>
          <w:bCs/>
        </w:rPr>
        <w:t>. Comments on Initiation of the case</w:t>
      </w:r>
    </w:p>
    <w:p w:rsidR="00C77E9F" w:rsidRPr="00621BC8" w:rsidRDefault="00C77E9F" w:rsidP="00C77E9F">
      <w:pPr>
        <w:autoSpaceDE w:val="0"/>
        <w:autoSpaceDN w:val="0"/>
        <w:adjustRightInd w:val="0"/>
        <w:rPr>
          <w:rFonts w:eastAsia="TimesNewRoman"/>
        </w:rPr>
      </w:pPr>
    </w:p>
    <w:p w:rsidR="00C77E9F" w:rsidRPr="00621BC8" w:rsidRDefault="00C77E9F" w:rsidP="0019319B">
      <w:pPr>
        <w:autoSpaceDE w:val="0"/>
        <w:autoSpaceDN w:val="0"/>
        <w:adjustRightInd w:val="0"/>
        <w:jc w:val="both"/>
        <w:rPr>
          <w:rFonts w:eastAsia="TimesNewRoman"/>
        </w:rPr>
      </w:pPr>
      <w:r w:rsidRPr="00621BC8">
        <w:rPr>
          <w:rFonts w:eastAsia="TimesNewRoman"/>
        </w:rPr>
        <w:t xml:space="preserve">The interested parties can submit their comments in written form within the </w:t>
      </w:r>
      <w:r w:rsidR="00412AF5" w:rsidRPr="00621BC8">
        <w:rPr>
          <w:rFonts w:eastAsia="TimesNewRoman"/>
        </w:rPr>
        <w:t>20 days</w:t>
      </w:r>
      <w:r w:rsidRPr="00621BC8">
        <w:rPr>
          <w:rFonts w:eastAsia="TimesNewRoman"/>
        </w:rPr>
        <w:t xml:space="preserve"> if they have different opinions on the standing of the </w:t>
      </w:r>
      <w:r w:rsidR="0051353E" w:rsidRPr="00621BC8">
        <w:rPr>
          <w:rFonts w:eastAsia="TimesNewRoman"/>
        </w:rPr>
        <w:t>applicants</w:t>
      </w:r>
      <w:r w:rsidRPr="00621BC8">
        <w:rPr>
          <w:rFonts w:eastAsia="TimesNewRoman"/>
        </w:rPr>
        <w:t xml:space="preserve">, the alleged countries </w:t>
      </w:r>
      <w:r w:rsidR="0051353E" w:rsidRPr="00621BC8">
        <w:rPr>
          <w:rFonts w:eastAsia="TimesNewRoman"/>
        </w:rPr>
        <w:t>(</w:t>
      </w:r>
      <w:r w:rsidRPr="00621BC8">
        <w:rPr>
          <w:rFonts w:eastAsia="TimesNewRoman"/>
        </w:rPr>
        <w:t>regions</w:t>
      </w:r>
      <w:r w:rsidR="0051353E" w:rsidRPr="00621BC8">
        <w:rPr>
          <w:rFonts w:eastAsia="TimesNewRoman"/>
        </w:rPr>
        <w:t>)</w:t>
      </w:r>
      <w:r w:rsidRPr="00621BC8">
        <w:rPr>
          <w:rFonts w:eastAsia="TimesNewRoman"/>
        </w:rPr>
        <w:t xml:space="preserve"> and other relevant issues.</w:t>
      </w:r>
    </w:p>
    <w:p w:rsidR="00C77E9F" w:rsidRPr="00621BC8" w:rsidRDefault="00C77E9F" w:rsidP="00C77E9F">
      <w:pPr>
        <w:autoSpaceDE w:val="0"/>
        <w:autoSpaceDN w:val="0"/>
        <w:adjustRightInd w:val="0"/>
        <w:rPr>
          <w:rFonts w:eastAsia="TimesNewRoman,Bold"/>
          <w:b/>
          <w:bCs/>
        </w:rPr>
      </w:pPr>
    </w:p>
    <w:p w:rsidR="00C77E9F" w:rsidRPr="00621BC8" w:rsidRDefault="00C77E9F" w:rsidP="00C77E9F">
      <w:pPr>
        <w:autoSpaceDE w:val="0"/>
        <w:autoSpaceDN w:val="0"/>
        <w:adjustRightInd w:val="0"/>
        <w:rPr>
          <w:rFonts w:eastAsia="TimesNewRoman,Bold"/>
          <w:b/>
          <w:bCs/>
        </w:rPr>
      </w:pPr>
      <w:r w:rsidRPr="00621BC8">
        <w:rPr>
          <w:rFonts w:eastAsia="TimesNewRoman,Bold"/>
          <w:b/>
          <w:bCs/>
        </w:rPr>
        <w:t>V</w:t>
      </w:r>
      <w:r w:rsidR="0019319B" w:rsidRPr="00621BC8">
        <w:rPr>
          <w:rFonts w:eastAsia="TimesNewRoman,Bold"/>
          <w:b/>
          <w:bCs/>
        </w:rPr>
        <w:t>II</w:t>
      </w:r>
      <w:r w:rsidRPr="00621BC8">
        <w:rPr>
          <w:rFonts w:eastAsia="TimesNewRoman,Bold"/>
          <w:b/>
          <w:bCs/>
        </w:rPr>
        <w:t>I. Investigation Approaches</w:t>
      </w:r>
    </w:p>
    <w:p w:rsidR="00C77E9F" w:rsidRPr="00621BC8" w:rsidRDefault="00C77E9F" w:rsidP="00C77E9F">
      <w:pPr>
        <w:autoSpaceDE w:val="0"/>
        <w:autoSpaceDN w:val="0"/>
        <w:adjustRightInd w:val="0"/>
        <w:rPr>
          <w:rFonts w:eastAsia="TimesNewRoman"/>
        </w:rPr>
      </w:pPr>
    </w:p>
    <w:p w:rsidR="00AF6C9A" w:rsidRPr="00621BC8" w:rsidRDefault="00AF6C9A" w:rsidP="00412AF5">
      <w:pPr>
        <w:spacing w:beforeLines="50" w:before="120" w:after="280"/>
        <w:jc w:val="both"/>
      </w:pPr>
      <w:r w:rsidRPr="00621BC8">
        <w:t xml:space="preserve">According to Article 20 of the </w:t>
      </w:r>
      <w:r w:rsidRPr="00621BC8">
        <w:rPr>
          <w:i/>
        </w:rPr>
        <w:t>Anti</w:t>
      </w:r>
      <w:r w:rsidR="00412AF5" w:rsidRPr="00621BC8">
        <w:rPr>
          <w:i/>
        </w:rPr>
        <w:t>-D</w:t>
      </w:r>
      <w:r w:rsidRPr="00621BC8">
        <w:rPr>
          <w:i/>
        </w:rPr>
        <w:t>umping Regulations of the People’s Republic of China</w:t>
      </w:r>
      <w:r w:rsidR="0051353E" w:rsidRPr="00621BC8">
        <w:t>, Mofcom</w:t>
      </w:r>
      <w:r w:rsidRPr="00621BC8">
        <w:t xml:space="preserve"> may conduct the investigation and acquire information from the interested parties by means of questionnaire, sampling, public hearing, </w:t>
      </w:r>
      <w:r w:rsidR="0051353E" w:rsidRPr="00621BC8">
        <w:t xml:space="preserve">and </w:t>
      </w:r>
      <w:r w:rsidRPr="00621BC8">
        <w:t>on-the-spot verification.</w:t>
      </w:r>
    </w:p>
    <w:p w:rsidR="00AF6C9A" w:rsidRPr="00621BC8" w:rsidRDefault="00AF6C9A" w:rsidP="00412AF5">
      <w:pPr>
        <w:spacing w:beforeLines="50" w:before="120" w:after="280"/>
        <w:jc w:val="both"/>
      </w:pPr>
      <w:r w:rsidRPr="00621BC8">
        <w:t>For acquiring necessary information for this investigation, M</w:t>
      </w:r>
      <w:r w:rsidR="0051353E" w:rsidRPr="00621BC8">
        <w:t>ofcom</w:t>
      </w:r>
      <w:r w:rsidRPr="00621BC8">
        <w:t xml:space="preserve"> usually issues the investigation questionnaires to </w:t>
      </w:r>
      <w:r w:rsidR="0051353E" w:rsidRPr="00621BC8">
        <w:t>the interested parties</w:t>
      </w:r>
      <w:r w:rsidRPr="00621BC8">
        <w:t xml:space="preserve"> within 10 working days upon the ending of registration set by this Notice. The interested parties may also download investigation questionnaires from relevant websites.</w:t>
      </w:r>
      <w:r w:rsidR="0048539F" w:rsidRPr="00621BC8">
        <w:t xml:space="preserve"> </w:t>
      </w:r>
    </w:p>
    <w:p w:rsidR="00AF6C9A" w:rsidRPr="00621BC8" w:rsidRDefault="0048539F" w:rsidP="00412AF5">
      <w:pPr>
        <w:spacing w:beforeLines="50" w:before="120" w:after="280"/>
        <w:jc w:val="both"/>
      </w:pPr>
      <w:r w:rsidRPr="00621BC8">
        <w:t>Interested parties</w:t>
      </w:r>
      <w:r w:rsidR="00AF6C9A" w:rsidRPr="00621BC8">
        <w:t xml:space="preserve"> shall submit complete and accurate response</w:t>
      </w:r>
      <w:r w:rsidRPr="00621BC8">
        <w:t xml:space="preserve"> to the questionnaires</w:t>
      </w:r>
      <w:r w:rsidR="00445351">
        <w:t xml:space="preserve"> within the provided time </w:t>
      </w:r>
      <w:r w:rsidR="00AF6C9A" w:rsidRPr="00621BC8">
        <w:t>period. The response should include all information required in the investigation questionnaire.</w:t>
      </w:r>
    </w:p>
    <w:p w:rsidR="00C77E9F" w:rsidRPr="00621BC8" w:rsidRDefault="00950410" w:rsidP="00C77E9F">
      <w:pPr>
        <w:spacing w:beforeLines="50" w:before="120" w:afterLines="50" w:after="120"/>
        <w:rPr>
          <w:b/>
        </w:rPr>
      </w:pPr>
      <w:r w:rsidRPr="00621BC8">
        <w:rPr>
          <w:b/>
        </w:rPr>
        <w:t>IX</w:t>
      </w:r>
      <w:r w:rsidR="00C77E9F" w:rsidRPr="00621BC8">
        <w:rPr>
          <w:b/>
        </w:rPr>
        <w:t>. Submission and processing of Information</w:t>
      </w:r>
    </w:p>
    <w:p w:rsidR="006A7C54" w:rsidRPr="00621BC8" w:rsidRDefault="006A7C54" w:rsidP="006A7C54">
      <w:pPr>
        <w:spacing w:beforeLines="50" w:before="120" w:afterLines="50" w:after="120"/>
        <w:jc w:val="both"/>
      </w:pPr>
      <w:r w:rsidRPr="00621BC8">
        <w:t>The interested parties, when submitting comments and questionnaires during the investigation, shall submit electronic version through the Trade Remedy and Investigation Information Platform (</w:t>
      </w:r>
      <w:hyperlink r:id="rId9" w:history="1">
        <w:r w:rsidRPr="00621BC8">
          <w:rPr>
            <w:rStyle w:val="Hyperlink"/>
            <w:rFonts w:ascii="Times New Roman" w:hAnsi="Times New Roman" w:cs="Times New Roman"/>
          </w:rPr>
          <w:t>https://etrb.mofcom.gov.cn</w:t>
        </w:r>
      </w:hyperlink>
      <w:r w:rsidRPr="00621BC8">
        <w:t xml:space="preserve">), and at the same time submit the written version according to the requirements of the </w:t>
      </w:r>
      <w:r w:rsidR="0048539F" w:rsidRPr="00621BC8">
        <w:t>Mofcom</w:t>
      </w:r>
      <w:r w:rsidRPr="00621BC8">
        <w:t xml:space="preserve">. The electronic version and the written version shall keep consistent in terms of content and format.   </w:t>
      </w:r>
    </w:p>
    <w:p w:rsidR="006A7C54" w:rsidRPr="00621BC8" w:rsidRDefault="006A7C54" w:rsidP="006A7C54">
      <w:pPr>
        <w:spacing w:beforeLines="50" w:before="120" w:afterLines="50" w:after="120"/>
        <w:jc w:val="both"/>
      </w:pPr>
      <w:r w:rsidRPr="00621BC8">
        <w:t xml:space="preserve">For confidential information, interested parties can submit </w:t>
      </w:r>
      <w:r w:rsidR="00950410" w:rsidRPr="00621BC8">
        <w:t xml:space="preserve">the </w:t>
      </w:r>
      <w:r w:rsidRPr="00621BC8">
        <w:t xml:space="preserve">request and reason to the </w:t>
      </w:r>
      <w:r w:rsidR="0048539F" w:rsidRPr="00621BC8">
        <w:t>Mofcom</w:t>
      </w:r>
      <w:r w:rsidRPr="00621BC8">
        <w:t xml:space="preserve"> for confidential processing of the information. If the </w:t>
      </w:r>
      <w:r w:rsidR="0048539F" w:rsidRPr="00621BC8">
        <w:t>Mofcom</w:t>
      </w:r>
      <w:r w:rsidRPr="00621BC8">
        <w:t xml:space="preserve"> agrees to the request, the interested party should submit the non-confidential outline summary of the confidential information. The outline should include sufficient meaningful information to allow other interested parties to have reasonable understanding of the confidential information. If the interested party cannot provide the outline, it should clarify the reasons. If the interested party does not indicate confidential requests when submit information, the </w:t>
      </w:r>
      <w:r w:rsidR="0048539F" w:rsidRPr="00621BC8">
        <w:t>Mofcom</w:t>
      </w:r>
      <w:r w:rsidRPr="00621BC8">
        <w:t xml:space="preserve"> will treat the information as non-confidential. </w:t>
      </w:r>
    </w:p>
    <w:p w:rsidR="00C77E9F" w:rsidRPr="00621BC8" w:rsidRDefault="00950410" w:rsidP="00C77E9F">
      <w:pPr>
        <w:spacing w:beforeLines="50" w:before="120" w:afterLines="50" w:after="120"/>
        <w:rPr>
          <w:b/>
        </w:rPr>
      </w:pPr>
      <w:r w:rsidRPr="00621BC8">
        <w:rPr>
          <w:b/>
        </w:rPr>
        <w:t>X</w:t>
      </w:r>
      <w:r w:rsidR="00C77E9F" w:rsidRPr="00621BC8">
        <w:rPr>
          <w:b/>
        </w:rPr>
        <w:t>. Result of Non-cooperation</w:t>
      </w:r>
    </w:p>
    <w:p w:rsidR="006A7C54" w:rsidRPr="00621BC8" w:rsidRDefault="006A7C54" w:rsidP="006A7C54">
      <w:pPr>
        <w:spacing w:beforeLines="50" w:before="120" w:afterLines="50" w:after="120"/>
        <w:jc w:val="both"/>
        <w:rPr>
          <w:rFonts w:eastAsia="TimesNewRoman,Bold"/>
          <w:b/>
          <w:bCs/>
        </w:rPr>
      </w:pPr>
      <w:r w:rsidRPr="00621BC8">
        <w:t xml:space="preserve">In accordance with the Article 21 of the </w:t>
      </w:r>
      <w:r w:rsidRPr="00621BC8">
        <w:rPr>
          <w:i/>
        </w:rPr>
        <w:t>Anti-Dumping Regulation of the People’s Republic of China</w:t>
      </w:r>
      <w:r w:rsidRPr="00621BC8">
        <w:t xml:space="preserve">, the interested parties shall provide authentic information and relevant documentation to </w:t>
      </w:r>
      <w:r w:rsidRPr="00621BC8">
        <w:lastRenderedPageBreak/>
        <w:t xml:space="preserve">the </w:t>
      </w:r>
      <w:r w:rsidR="0048539F" w:rsidRPr="00621BC8">
        <w:t>Mofcom</w:t>
      </w:r>
      <w:r w:rsidRPr="00621BC8">
        <w:t xml:space="preserve"> in the investigation. In the event that any interested party does not provide authentic information and relevant documentation, or does not provide necessary information within a reasonable time limit, or significantly impedes the investigation in other ways, the </w:t>
      </w:r>
      <w:r w:rsidR="009C3474" w:rsidRPr="00621BC8">
        <w:t>Mofcom</w:t>
      </w:r>
      <w:r w:rsidRPr="00621BC8">
        <w:t xml:space="preserve"> may make a determination on the basis of the facts already known and the best information available.</w:t>
      </w:r>
    </w:p>
    <w:p w:rsidR="00C77E9F" w:rsidRPr="00621BC8" w:rsidRDefault="00C77E9F" w:rsidP="00C77E9F">
      <w:pPr>
        <w:autoSpaceDE w:val="0"/>
        <w:autoSpaceDN w:val="0"/>
        <w:adjustRightInd w:val="0"/>
        <w:rPr>
          <w:rFonts w:eastAsia="TimesNewRoman,Bold"/>
          <w:b/>
          <w:bCs/>
        </w:rPr>
      </w:pPr>
    </w:p>
    <w:p w:rsidR="00C77E9F" w:rsidRPr="00621BC8" w:rsidRDefault="00C77E9F" w:rsidP="00C77E9F">
      <w:pPr>
        <w:autoSpaceDE w:val="0"/>
        <w:autoSpaceDN w:val="0"/>
        <w:adjustRightInd w:val="0"/>
        <w:rPr>
          <w:rFonts w:eastAsia="TimesNewRoman,Bold"/>
          <w:b/>
          <w:bCs/>
        </w:rPr>
      </w:pPr>
      <w:r w:rsidRPr="00621BC8">
        <w:rPr>
          <w:rFonts w:eastAsia="TimesNewRoman,Bold"/>
          <w:b/>
          <w:bCs/>
        </w:rPr>
        <w:t>X</w:t>
      </w:r>
      <w:r w:rsidR="00621BC8" w:rsidRPr="00621BC8">
        <w:rPr>
          <w:rFonts w:eastAsia="TimesNewRoman,Bold"/>
          <w:b/>
          <w:bCs/>
        </w:rPr>
        <w:t>I</w:t>
      </w:r>
      <w:r w:rsidRPr="00621BC8">
        <w:rPr>
          <w:rFonts w:eastAsia="TimesNewRoman,Bold"/>
          <w:b/>
          <w:bCs/>
        </w:rPr>
        <w:t>. The investigation Period</w:t>
      </w:r>
    </w:p>
    <w:p w:rsidR="00621BC8" w:rsidRPr="00621BC8" w:rsidRDefault="00621BC8" w:rsidP="00C77E9F">
      <w:pPr>
        <w:autoSpaceDE w:val="0"/>
        <w:autoSpaceDN w:val="0"/>
        <w:adjustRightInd w:val="0"/>
      </w:pPr>
    </w:p>
    <w:p w:rsidR="00C77E9F" w:rsidRPr="00621BC8" w:rsidRDefault="00C77E9F" w:rsidP="00C77E9F">
      <w:pPr>
        <w:autoSpaceDE w:val="0"/>
        <w:autoSpaceDN w:val="0"/>
        <w:adjustRightInd w:val="0"/>
      </w:pPr>
      <w:r w:rsidRPr="00621BC8">
        <w:t xml:space="preserve">The investigation starts from </w:t>
      </w:r>
      <w:r w:rsidR="00445351">
        <w:t>6 September</w:t>
      </w:r>
      <w:r w:rsidR="00621BC8" w:rsidRPr="00621BC8">
        <w:t xml:space="preserve"> </w:t>
      </w:r>
      <w:r w:rsidR="006A7C54" w:rsidRPr="00621BC8">
        <w:t>2024</w:t>
      </w:r>
      <w:r w:rsidRPr="00621BC8">
        <w:t xml:space="preserve"> and shall normally end </w:t>
      </w:r>
      <w:r w:rsidR="00621BC8" w:rsidRPr="00621BC8">
        <w:t xml:space="preserve">by </w:t>
      </w:r>
      <w:r w:rsidR="00445351">
        <w:t>6 September</w:t>
      </w:r>
      <w:r w:rsidR="006A7C54" w:rsidRPr="00621BC8">
        <w:t xml:space="preserve"> 2025</w:t>
      </w:r>
      <w:r w:rsidRPr="00621BC8">
        <w:t xml:space="preserve">. The </w:t>
      </w:r>
    </w:p>
    <w:p w:rsidR="00C77E9F" w:rsidRPr="00621BC8" w:rsidRDefault="00C77E9F" w:rsidP="00C77E9F">
      <w:pPr>
        <w:autoSpaceDE w:val="0"/>
        <w:autoSpaceDN w:val="0"/>
        <w:adjustRightInd w:val="0"/>
        <w:rPr>
          <w:rFonts w:eastAsia="TimesNewRoman,Bold"/>
          <w:b/>
          <w:bCs/>
        </w:rPr>
      </w:pPr>
    </w:p>
    <w:p w:rsidR="00AF6C9A" w:rsidRPr="00621BC8" w:rsidRDefault="00C77E9F" w:rsidP="00C77E9F">
      <w:pPr>
        <w:autoSpaceDE w:val="0"/>
        <w:autoSpaceDN w:val="0"/>
        <w:adjustRightInd w:val="0"/>
      </w:pPr>
      <w:r w:rsidRPr="00621BC8">
        <w:rPr>
          <w:rFonts w:eastAsia="TimesNewRoman,Bold"/>
          <w:b/>
          <w:bCs/>
        </w:rPr>
        <w:t>X</w:t>
      </w:r>
      <w:r w:rsidR="00621BC8" w:rsidRPr="00621BC8">
        <w:rPr>
          <w:rFonts w:eastAsia="TimesNewRoman,Bold"/>
          <w:b/>
          <w:bCs/>
        </w:rPr>
        <w:t>II</w:t>
      </w:r>
      <w:r w:rsidRPr="00621BC8">
        <w:rPr>
          <w:rFonts w:eastAsia="TimesNewRoman,Bold"/>
          <w:b/>
          <w:bCs/>
        </w:rPr>
        <w:t>. Contact Method of MOFCOM:</w:t>
      </w:r>
      <w:r w:rsidRPr="00621BC8">
        <w:br/>
      </w:r>
    </w:p>
    <w:p w:rsidR="00AF6C9A" w:rsidRPr="00621BC8" w:rsidRDefault="00AF6C9A" w:rsidP="00AF6C9A">
      <w:pPr>
        <w:pStyle w:val="Style1"/>
        <w:spacing w:after="280"/>
        <w:rPr>
          <w:rFonts w:ascii="Times New Roman" w:eastAsia="SimSun"/>
          <w:szCs w:val="24"/>
        </w:rPr>
      </w:pPr>
      <w:r w:rsidRPr="00621BC8">
        <w:rPr>
          <w:rFonts w:ascii="Times New Roman" w:eastAsia="SimSun"/>
          <w:szCs w:val="24"/>
        </w:rPr>
        <w:t>Add: No. 2 Dong Chang An Ave., Beijing, 100731</w:t>
      </w:r>
    </w:p>
    <w:p w:rsidR="00AF6C9A" w:rsidRPr="00621BC8" w:rsidRDefault="00AF6C9A" w:rsidP="00AF6C9A">
      <w:pPr>
        <w:pStyle w:val="Style1"/>
        <w:spacing w:after="280"/>
        <w:rPr>
          <w:rFonts w:ascii="Times New Roman" w:eastAsia="SimSun"/>
          <w:szCs w:val="24"/>
        </w:rPr>
      </w:pPr>
      <w:r w:rsidRPr="00621BC8">
        <w:rPr>
          <w:rFonts w:ascii="Times New Roman" w:eastAsia="SimSun"/>
          <w:szCs w:val="24"/>
        </w:rPr>
        <w:t>Trade Remedy and Investigation</w:t>
      </w:r>
      <w:r w:rsidRPr="00621BC8">
        <w:rPr>
          <w:rFonts w:ascii="Times New Roman"/>
          <w:szCs w:val="24"/>
        </w:rPr>
        <w:t xml:space="preserve"> Bureau</w:t>
      </w:r>
      <w:r w:rsidRPr="00621BC8">
        <w:rPr>
          <w:rFonts w:ascii="Times New Roman" w:eastAsia="SimSun"/>
          <w:szCs w:val="24"/>
        </w:rPr>
        <w:t>, MOFCOM</w:t>
      </w:r>
    </w:p>
    <w:p w:rsidR="00AF6C9A" w:rsidRPr="00621BC8" w:rsidRDefault="00AF6C9A" w:rsidP="00AF6C9A">
      <w:pPr>
        <w:pStyle w:val="Style1"/>
        <w:spacing w:after="280"/>
        <w:rPr>
          <w:rFonts w:ascii="Times New Roman" w:eastAsia="SimSun"/>
          <w:kern w:val="0"/>
          <w:szCs w:val="24"/>
          <w:lang w:val="en-GB"/>
        </w:rPr>
      </w:pPr>
      <w:r w:rsidRPr="00621BC8">
        <w:rPr>
          <w:rFonts w:ascii="Times New Roman" w:eastAsia="SimSun"/>
          <w:szCs w:val="24"/>
          <w:lang w:val="en-GB"/>
        </w:rPr>
        <w:t>Tel:  0086-1</w:t>
      </w:r>
      <w:r w:rsidRPr="00621BC8">
        <w:rPr>
          <w:rFonts w:ascii="Times New Roman"/>
          <w:kern w:val="0"/>
          <w:szCs w:val="24"/>
          <w:lang w:val="en-GB"/>
        </w:rPr>
        <w:t xml:space="preserve">0- </w:t>
      </w:r>
      <w:r w:rsidR="00445351">
        <w:rPr>
          <w:rFonts w:ascii="Times New Roman" w:eastAsia="SimSun"/>
          <w:kern w:val="0"/>
          <w:szCs w:val="24"/>
          <w:lang w:val="en-GB"/>
        </w:rPr>
        <w:t>65198194</w:t>
      </w:r>
      <w:r w:rsidR="00621BC8" w:rsidRPr="00621BC8">
        <w:rPr>
          <w:rFonts w:ascii="Times New Roman" w:eastAsia="SimSun"/>
          <w:kern w:val="0"/>
          <w:szCs w:val="24"/>
          <w:lang w:val="en-GB"/>
        </w:rPr>
        <w:t xml:space="preserve"> 65198</w:t>
      </w:r>
      <w:r w:rsidR="00BD635E">
        <w:rPr>
          <w:rFonts w:ascii="Times New Roman" w:eastAsia="SimSun"/>
          <w:kern w:val="0"/>
          <w:szCs w:val="24"/>
          <w:lang w:val="en-GB"/>
        </w:rPr>
        <w:t>474</w:t>
      </w:r>
    </w:p>
    <w:p w:rsidR="00AF6C9A" w:rsidRPr="00621BC8" w:rsidRDefault="00AF6C9A" w:rsidP="00AF6C9A">
      <w:pPr>
        <w:pStyle w:val="Style1"/>
        <w:spacing w:after="280"/>
        <w:rPr>
          <w:rFonts w:ascii="Times New Roman" w:eastAsia="SimSun"/>
          <w:kern w:val="0"/>
          <w:szCs w:val="24"/>
          <w:lang w:val="en-GB"/>
        </w:rPr>
      </w:pPr>
      <w:r w:rsidRPr="00621BC8">
        <w:rPr>
          <w:rFonts w:ascii="Times New Roman"/>
          <w:kern w:val="0"/>
          <w:szCs w:val="24"/>
          <w:lang w:val="en-GB"/>
        </w:rPr>
        <w:t xml:space="preserve">Fax:  </w:t>
      </w:r>
      <w:r w:rsidRPr="00621BC8">
        <w:rPr>
          <w:rFonts w:ascii="Times New Roman" w:eastAsia="SimSun"/>
          <w:kern w:val="0"/>
          <w:szCs w:val="24"/>
          <w:lang w:val="en-GB"/>
        </w:rPr>
        <w:t>00</w:t>
      </w:r>
      <w:r w:rsidRPr="00621BC8">
        <w:rPr>
          <w:rFonts w:ascii="Times New Roman"/>
          <w:kern w:val="0"/>
          <w:szCs w:val="24"/>
          <w:lang w:val="en-GB"/>
        </w:rPr>
        <w:t>86-10-651</w:t>
      </w:r>
      <w:r w:rsidR="00852D0E" w:rsidRPr="00621BC8">
        <w:rPr>
          <w:rFonts w:ascii="Times New Roman" w:eastAsia="SimSun"/>
          <w:kern w:val="0"/>
          <w:szCs w:val="24"/>
          <w:lang w:val="en-GB"/>
        </w:rPr>
        <w:t>98172</w:t>
      </w:r>
    </w:p>
    <w:p w:rsidR="00AF6C9A" w:rsidRPr="00621BC8" w:rsidRDefault="00AF6C9A" w:rsidP="00AF6C9A">
      <w:pPr>
        <w:pStyle w:val="Style1"/>
        <w:spacing w:after="280"/>
        <w:rPr>
          <w:rFonts w:ascii="Times New Roman" w:eastAsia="SimSun"/>
          <w:szCs w:val="24"/>
        </w:rPr>
      </w:pPr>
      <w:r w:rsidRPr="00621BC8">
        <w:rPr>
          <w:rFonts w:ascii="Times New Roman"/>
          <w:szCs w:val="24"/>
        </w:rPr>
        <w:t xml:space="preserve">The website of </w:t>
      </w:r>
      <w:r w:rsidRPr="00621BC8">
        <w:rPr>
          <w:rFonts w:ascii="Times New Roman" w:eastAsia="SimSun"/>
          <w:szCs w:val="24"/>
        </w:rPr>
        <w:t>Trade Remedy and Investigation</w:t>
      </w:r>
      <w:r w:rsidRPr="00621BC8">
        <w:rPr>
          <w:rFonts w:ascii="Times New Roman"/>
          <w:szCs w:val="24"/>
        </w:rPr>
        <w:t xml:space="preserve"> Bureau</w:t>
      </w:r>
      <w:r w:rsidRPr="00621BC8">
        <w:rPr>
          <w:rFonts w:ascii="Times New Roman" w:eastAsia="SimSun"/>
          <w:szCs w:val="24"/>
        </w:rPr>
        <w:t xml:space="preserve">: </w:t>
      </w:r>
      <w:hyperlink r:id="rId10" w:history="1">
        <w:r w:rsidRPr="00621BC8">
          <w:rPr>
            <w:rStyle w:val="Hyperlink"/>
            <w:rFonts w:ascii="Times New Roman" w:eastAsia="SimSun" w:hAnsi="Times New Roman" w:cs="Times New Roman"/>
            <w:szCs w:val="24"/>
          </w:rPr>
          <w:t>http://trb.mofcom.gov.cn</w:t>
        </w:r>
      </w:hyperlink>
    </w:p>
    <w:p w:rsidR="00C77E9F" w:rsidRPr="00621BC8" w:rsidRDefault="00C77E9F" w:rsidP="00C77E9F">
      <w:pPr>
        <w:autoSpaceDE w:val="0"/>
        <w:autoSpaceDN w:val="0"/>
        <w:adjustRightInd w:val="0"/>
        <w:rPr>
          <w:lang w:val="en-US"/>
        </w:rPr>
      </w:pPr>
    </w:p>
    <w:p w:rsidR="00C77E9F" w:rsidRPr="00621BC8" w:rsidRDefault="00C77E9F" w:rsidP="00C77E9F"/>
    <w:p w:rsidR="00C77E9F" w:rsidRPr="00621BC8" w:rsidRDefault="00C77E9F" w:rsidP="00AF6C9A">
      <w:pPr>
        <w:ind w:right="480"/>
        <w:jc w:val="right"/>
      </w:pPr>
      <w:r w:rsidRPr="00621BC8">
        <w:t>Ministry of Commerce</w:t>
      </w:r>
    </w:p>
    <w:p w:rsidR="00C77E9F" w:rsidRPr="00621BC8" w:rsidRDefault="00BD635E" w:rsidP="00C77E9F">
      <w:pPr>
        <w:autoSpaceDE w:val="0"/>
        <w:autoSpaceDN w:val="0"/>
        <w:adjustRightInd w:val="0"/>
        <w:ind w:left="5760" w:firstLine="720"/>
        <w:rPr>
          <w:rFonts w:eastAsia="TimesNewRoman"/>
        </w:rPr>
      </w:pPr>
      <w:r>
        <w:t>5 September</w:t>
      </w:r>
      <w:bookmarkStart w:id="0" w:name="_GoBack"/>
      <w:bookmarkEnd w:id="0"/>
      <w:r w:rsidR="006A7C54" w:rsidRPr="00621BC8">
        <w:t xml:space="preserve"> 2024</w:t>
      </w:r>
    </w:p>
    <w:p w:rsidR="00C77E9F" w:rsidRPr="00621BC8" w:rsidRDefault="00C77E9F"/>
    <w:p w:rsidR="00C77E9F" w:rsidRPr="00621BC8" w:rsidRDefault="00C77E9F"/>
    <w:sectPr w:rsidR="00C77E9F" w:rsidRPr="00621BC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2D4" w:rsidRDefault="00BD62D4">
      <w:r>
        <w:separator/>
      </w:r>
    </w:p>
  </w:endnote>
  <w:endnote w:type="continuationSeparator" w:id="0">
    <w:p w:rsidR="00BD62D4" w:rsidRDefault="00BD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NewRoman,Bold">
    <w:altName w:val="SimSun"/>
    <w:panose1 w:val="00000000000000000000"/>
    <w:charset w:val="86"/>
    <w:family w:val="auto"/>
    <w:notTrueType/>
    <w:pitch w:val="default"/>
    <w:sig w:usb0="00000001" w:usb1="080E0000" w:usb2="00000010" w:usb3="00000000" w:csb0="00040000" w:csb1="00000000"/>
  </w:font>
  <w:font w:name="TimesNewRoman">
    <w:altName w:val="宋体"/>
    <w:panose1 w:val="00000000000000000000"/>
    <w:charset w:val="86"/>
    <w:family w:val="auto"/>
    <w:notTrueType/>
    <w:pitch w:val="default"/>
    <w:sig w:usb0="00000001" w:usb1="080E0000" w:usb2="00000010" w:usb3="00000000" w:csb0="00040000" w:csb1="00000000"/>
  </w:font>
  <w:font w:name="TimesNewRoman,Italic">
    <w:altName w:val="SimSun"/>
    <w:panose1 w:val="00000000000000000000"/>
    <w:charset w:val="86"/>
    <w:family w:val="auto"/>
    <w:notTrueType/>
    <w:pitch w:val="default"/>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D88" w:rsidRPr="00F01729" w:rsidRDefault="00796D88" w:rsidP="006E7509">
    <w:pPr>
      <w:autoSpaceDE w:val="0"/>
      <w:autoSpaceDN w:val="0"/>
      <w:adjustRightInd w:val="0"/>
      <w:rPr>
        <w:rFonts w:ascii="Arial" w:hAnsi="Arial" w:cs="Arial"/>
        <w:bCs/>
        <w:sz w:val="18"/>
        <w:szCs w:val="18"/>
      </w:rPr>
    </w:pPr>
    <w:r w:rsidRPr="00F01729">
      <w:rPr>
        <w:rFonts w:ascii="Arial" w:hAnsi="Arial" w:cs="Arial"/>
        <w:bCs/>
        <w:sz w:val="18"/>
        <w:szCs w:val="18"/>
      </w:rPr>
      <w:t>Disclaimer: This translation by the EU Delegation is provided as a working tool, and is provided "as is." No warranty of any kind, either expressed or implied, is made as to the accuracy, correctness, or reliability of any translations. Only the original official version should prevail as a source of reference.</w:t>
    </w:r>
  </w:p>
  <w:p w:rsidR="00796D88" w:rsidRPr="00F01729" w:rsidRDefault="00796D88">
    <w:pPr>
      <w:pStyle w:val="Footer"/>
      <w:rPr>
        <w:sz w:val="18"/>
        <w:szCs w:val="18"/>
      </w:rPr>
    </w:pPr>
    <w:r w:rsidRPr="00F01729">
      <w:rPr>
        <w:rFonts w:ascii="SimSun" w:cs="SimSun" w:hint="eastAsia"/>
        <w:sz w:val="18"/>
        <w:szCs w:val="18"/>
        <w:lang w:val="zh-CN"/>
      </w:rPr>
      <w:t>免责声明：译文仅供工作参考，其内容仅代表原作者个人观点。</w:t>
    </w:r>
    <w:r w:rsidRPr="00F01729">
      <w:rPr>
        <w:rFonts w:ascii="SimSun" w:cs="SimSun" w:hint="eastAsia"/>
        <w:sz w:val="18"/>
        <w:szCs w:val="18"/>
        <w:lang w:val="fr-FR"/>
      </w:rPr>
      <w:t>欧盟驻华代表团</w:t>
    </w:r>
    <w:r w:rsidRPr="00F01729">
      <w:rPr>
        <w:rFonts w:ascii="SimSun" w:cs="SimSun" w:hint="eastAsia"/>
        <w:sz w:val="18"/>
        <w:szCs w:val="18"/>
        <w:lang w:val="zh-CN"/>
      </w:rPr>
      <w:t>对于译文内容的准确性、正确性、可靠性不负任何责任，具体内容请以官方原文为准。</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2D4" w:rsidRDefault="00BD62D4">
      <w:r>
        <w:separator/>
      </w:r>
    </w:p>
  </w:footnote>
  <w:footnote w:type="continuationSeparator" w:id="0">
    <w:p w:rsidR="00BD62D4" w:rsidRDefault="00BD6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295C"/>
    <w:multiLevelType w:val="hybridMultilevel"/>
    <w:tmpl w:val="6AA23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A34DD"/>
    <w:multiLevelType w:val="hybridMultilevel"/>
    <w:tmpl w:val="99B05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67158E"/>
    <w:multiLevelType w:val="hybridMultilevel"/>
    <w:tmpl w:val="50227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955B69"/>
    <w:multiLevelType w:val="hybridMultilevel"/>
    <w:tmpl w:val="4B9E7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4A5225"/>
    <w:multiLevelType w:val="hybridMultilevel"/>
    <w:tmpl w:val="45925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E7509"/>
    <w:rsid w:val="00001164"/>
    <w:rsid w:val="00005825"/>
    <w:rsid w:val="00014F53"/>
    <w:rsid w:val="00017D83"/>
    <w:rsid w:val="00020833"/>
    <w:rsid w:val="000216DB"/>
    <w:rsid w:val="00021DE8"/>
    <w:rsid w:val="00023423"/>
    <w:rsid w:val="00023A26"/>
    <w:rsid w:val="0003613E"/>
    <w:rsid w:val="00036378"/>
    <w:rsid w:val="0004127E"/>
    <w:rsid w:val="00042830"/>
    <w:rsid w:val="00045E0C"/>
    <w:rsid w:val="0004675F"/>
    <w:rsid w:val="00047285"/>
    <w:rsid w:val="00051327"/>
    <w:rsid w:val="0005314D"/>
    <w:rsid w:val="0005483F"/>
    <w:rsid w:val="0005707B"/>
    <w:rsid w:val="00060F7E"/>
    <w:rsid w:val="00062BEA"/>
    <w:rsid w:val="00066325"/>
    <w:rsid w:val="00072105"/>
    <w:rsid w:val="00080064"/>
    <w:rsid w:val="00080C07"/>
    <w:rsid w:val="0008226D"/>
    <w:rsid w:val="000830EC"/>
    <w:rsid w:val="00083FE8"/>
    <w:rsid w:val="00085664"/>
    <w:rsid w:val="000867F1"/>
    <w:rsid w:val="000911D2"/>
    <w:rsid w:val="00091C61"/>
    <w:rsid w:val="00094173"/>
    <w:rsid w:val="00094417"/>
    <w:rsid w:val="00096496"/>
    <w:rsid w:val="00096BF8"/>
    <w:rsid w:val="000A06E8"/>
    <w:rsid w:val="000A0FA0"/>
    <w:rsid w:val="000A5CCD"/>
    <w:rsid w:val="000A5DE8"/>
    <w:rsid w:val="000A7246"/>
    <w:rsid w:val="000A7C0F"/>
    <w:rsid w:val="000B3AF0"/>
    <w:rsid w:val="000B748B"/>
    <w:rsid w:val="000C3648"/>
    <w:rsid w:val="000D5175"/>
    <w:rsid w:val="000D684F"/>
    <w:rsid w:val="000E2EEF"/>
    <w:rsid w:val="000F055E"/>
    <w:rsid w:val="000F20E4"/>
    <w:rsid w:val="000F220E"/>
    <w:rsid w:val="000F36A2"/>
    <w:rsid w:val="000F3803"/>
    <w:rsid w:val="000F73B8"/>
    <w:rsid w:val="0010088E"/>
    <w:rsid w:val="001025CF"/>
    <w:rsid w:val="00102D22"/>
    <w:rsid w:val="00104285"/>
    <w:rsid w:val="00104851"/>
    <w:rsid w:val="0010553C"/>
    <w:rsid w:val="0010646E"/>
    <w:rsid w:val="00110951"/>
    <w:rsid w:val="001131F9"/>
    <w:rsid w:val="001134BD"/>
    <w:rsid w:val="001165D1"/>
    <w:rsid w:val="0012092D"/>
    <w:rsid w:val="001213D3"/>
    <w:rsid w:val="00123BD8"/>
    <w:rsid w:val="00123F6C"/>
    <w:rsid w:val="001262AC"/>
    <w:rsid w:val="0012651A"/>
    <w:rsid w:val="00127B2D"/>
    <w:rsid w:val="001319D3"/>
    <w:rsid w:val="00132064"/>
    <w:rsid w:val="001327D3"/>
    <w:rsid w:val="001349EB"/>
    <w:rsid w:val="001356B2"/>
    <w:rsid w:val="00136393"/>
    <w:rsid w:val="00140DE0"/>
    <w:rsid w:val="001449DF"/>
    <w:rsid w:val="00145A74"/>
    <w:rsid w:val="00146D73"/>
    <w:rsid w:val="001509D3"/>
    <w:rsid w:val="00150C66"/>
    <w:rsid w:val="00156BC9"/>
    <w:rsid w:val="001607D5"/>
    <w:rsid w:val="00160938"/>
    <w:rsid w:val="0017313D"/>
    <w:rsid w:val="001735BD"/>
    <w:rsid w:val="001739EE"/>
    <w:rsid w:val="00175111"/>
    <w:rsid w:val="00175789"/>
    <w:rsid w:val="00177F69"/>
    <w:rsid w:val="00180C91"/>
    <w:rsid w:val="0018139E"/>
    <w:rsid w:val="001865CB"/>
    <w:rsid w:val="00187973"/>
    <w:rsid w:val="0019298C"/>
    <w:rsid w:val="00192F4F"/>
    <w:rsid w:val="0019319B"/>
    <w:rsid w:val="0019566F"/>
    <w:rsid w:val="001956C1"/>
    <w:rsid w:val="001A485C"/>
    <w:rsid w:val="001B40D7"/>
    <w:rsid w:val="001B5139"/>
    <w:rsid w:val="001B53C9"/>
    <w:rsid w:val="001B7066"/>
    <w:rsid w:val="001B7359"/>
    <w:rsid w:val="001C0E18"/>
    <w:rsid w:val="001F6D7C"/>
    <w:rsid w:val="001F7068"/>
    <w:rsid w:val="001F72BF"/>
    <w:rsid w:val="001F7E2A"/>
    <w:rsid w:val="00202CA8"/>
    <w:rsid w:val="0020311B"/>
    <w:rsid w:val="00203C56"/>
    <w:rsid w:val="00204E8E"/>
    <w:rsid w:val="00210217"/>
    <w:rsid w:val="002108ED"/>
    <w:rsid w:val="00216CFD"/>
    <w:rsid w:val="00217DE5"/>
    <w:rsid w:val="00223F01"/>
    <w:rsid w:val="00224BCC"/>
    <w:rsid w:val="00225E5E"/>
    <w:rsid w:val="00232779"/>
    <w:rsid w:val="00235D53"/>
    <w:rsid w:val="002419A8"/>
    <w:rsid w:val="00244696"/>
    <w:rsid w:val="00246571"/>
    <w:rsid w:val="0024658F"/>
    <w:rsid w:val="002477A0"/>
    <w:rsid w:val="002519EF"/>
    <w:rsid w:val="00252B1B"/>
    <w:rsid w:val="00253458"/>
    <w:rsid w:val="00255F9D"/>
    <w:rsid w:val="002573EE"/>
    <w:rsid w:val="002651FE"/>
    <w:rsid w:val="00265BF7"/>
    <w:rsid w:val="00271A2D"/>
    <w:rsid w:val="00272C74"/>
    <w:rsid w:val="00274C88"/>
    <w:rsid w:val="002755D8"/>
    <w:rsid w:val="00277009"/>
    <w:rsid w:val="00277354"/>
    <w:rsid w:val="002773BE"/>
    <w:rsid w:val="00280EBB"/>
    <w:rsid w:val="002908F6"/>
    <w:rsid w:val="00290F2B"/>
    <w:rsid w:val="002917EA"/>
    <w:rsid w:val="00293FDC"/>
    <w:rsid w:val="002940B4"/>
    <w:rsid w:val="00294A32"/>
    <w:rsid w:val="002963E5"/>
    <w:rsid w:val="002A45C1"/>
    <w:rsid w:val="002A67B2"/>
    <w:rsid w:val="002B1FC2"/>
    <w:rsid w:val="002B5471"/>
    <w:rsid w:val="002B78CB"/>
    <w:rsid w:val="002B7E88"/>
    <w:rsid w:val="002C5780"/>
    <w:rsid w:val="002D1716"/>
    <w:rsid w:val="002D179B"/>
    <w:rsid w:val="002D4328"/>
    <w:rsid w:val="002D499D"/>
    <w:rsid w:val="002D5DF7"/>
    <w:rsid w:val="002E09A7"/>
    <w:rsid w:val="002E4478"/>
    <w:rsid w:val="002F2DB3"/>
    <w:rsid w:val="002F6936"/>
    <w:rsid w:val="002F7455"/>
    <w:rsid w:val="00302ACA"/>
    <w:rsid w:val="003076E1"/>
    <w:rsid w:val="00312EEC"/>
    <w:rsid w:val="003139C7"/>
    <w:rsid w:val="00316B61"/>
    <w:rsid w:val="00325634"/>
    <w:rsid w:val="00326CC8"/>
    <w:rsid w:val="003364F0"/>
    <w:rsid w:val="003374AF"/>
    <w:rsid w:val="003406FD"/>
    <w:rsid w:val="00347493"/>
    <w:rsid w:val="00354058"/>
    <w:rsid w:val="003579CC"/>
    <w:rsid w:val="00362C93"/>
    <w:rsid w:val="00370C0A"/>
    <w:rsid w:val="003747CD"/>
    <w:rsid w:val="00376614"/>
    <w:rsid w:val="0038402B"/>
    <w:rsid w:val="00384769"/>
    <w:rsid w:val="00386783"/>
    <w:rsid w:val="003924D9"/>
    <w:rsid w:val="00394F65"/>
    <w:rsid w:val="00396C39"/>
    <w:rsid w:val="003A3B3A"/>
    <w:rsid w:val="003A4461"/>
    <w:rsid w:val="003A5AB5"/>
    <w:rsid w:val="003B00A9"/>
    <w:rsid w:val="003B04B5"/>
    <w:rsid w:val="003B0EBB"/>
    <w:rsid w:val="003B1776"/>
    <w:rsid w:val="003B1B4C"/>
    <w:rsid w:val="003B1F75"/>
    <w:rsid w:val="003B3B78"/>
    <w:rsid w:val="003B4A4D"/>
    <w:rsid w:val="003C41C7"/>
    <w:rsid w:val="003C714C"/>
    <w:rsid w:val="003C7284"/>
    <w:rsid w:val="003C7ED4"/>
    <w:rsid w:val="003D090F"/>
    <w:rsid w:val="003D0B65"/>
    <w:rsid w:val="003D22A7"/>
    <w:rsid w:val="003D340B"/>
    <w:rsid w:val="003D4DB6"/>
    <w:rsid w:val="003E11FA"/>
    <w:rsid w:val="003E392D"/>
    <w:rsid w:val="003E6A93"/>
    <w:rsid w:val="003E7FC0"/>
    <w:rsid w:val="003F0C8A"/>
    <w:rsid w:val="003F1AEA"/>
    <w:rsid w:val="003F1C3E"/>
    <w:rsid w:val="003F5BC8"/>
    <w:rsid w:val="003F6F7F"/>
    <w:rsid w:val="004002BE"/>
    <w:rsid w:val="004025EB"/>
    <w:rsid w:val="004062F7"/>
    <w:rsid w:val="004104B1"/>
    <w:rsid w:val="00410890"/>
    <w:rsid w:val="00412AF5"/>
    <w:rsid w:val="004157B5"/>
    <w:rsid w:val="00416C27"/>
    <w:rsid w:val="004218B7"/>
    <w:rsid w:val="00426DEC"/>
    <w:rsid w:val="00432356"/>
    <w:rsid w:val="00432479"/>
    <w:rsid w:val="004326A1"/>
    <w:rsid w:val="00434A7C"/>
    <w:rsid w:val="0043611E"/>
    <w:rsid w:val="004412A1"/>
    <w:rsid w:val="004422B7"/>
    <w:rsid w:val="00445351"/>
    <w:rsid w:val="004457F4"/>
    <w:rsid w:val="00445E63"/>
    <w:rsid w:val="00446332"/>
    <w:rsid w:val="00450F02"/>
    <w:rsid w:val="0045221C"/>
    <w:rsid w:val="00453068"/>
    <w:rsid w:val="00453A98"/>
    <w:rsid w:val="0045596C"/>
    <w:rsid w:val="00455DE5"/>
    <w:rsid w:val="004621E0"/>
    <w:rsid w:val="0046580B"/>
    <w:rsid w:val="004670C8"/>
    <w:rsid w:val="00470E33"/>
    <w:rsid w:val="00471741"/>
    <w:rsid w:val="00471CBA"/>
    <w:rsid w:val="004753A6"/>
    <w:rsid w:val="0048539F"/>
    <w:rsid w:val="0048596F"/>
    <w:rsid w:val="00490A0E"/>
    <w:rsid w:val="0049118F"/>
    <w:rsid w:val="004940C3"/>
    <w:rsid w:val="004942AC"/>
    <w:rsid w:val="00494971"/>
    <w:rsid w:val="00496CC1"/>
    <w:rsid w:val="00497C2A"/>
    <w:rsid w:val="004A0248"/>
    <w:rsid w:val="004A5877"/>
    <w:rsid w:val="004A5FB1"/>
    <w:rsid w:val="004A7850"/>
    <w:rsid w:val="004B2098"/>
    <w:rsid w:val="004B2823"/>
    <w:rsid w:val="004B344B"/>
    <w:rsid w:val="004B5267"/>
    <w:rsid w:val="004B75C2"/>
    <w:rsid w:val="004B78E6"/>
    <w:rsid w:val="004C1B5B"/>
    <w:rsid w:val="004C1F91"/>
    <w:rsid w:val="004C306C"/>
    <w:rsid w:val="004C6EFD"/>
    <w:rsid w:val="004C7D81"/>
    <w:rsid w:val="004D32A2"/>
    <w:rsid w:val="004D4E2F"/>
    <w:rsid w:val="004D6AF3"/>
    <w:rsid w:val="004E0A57"/>
    <w:rsid w:val="004E1177"/>
    <w:rsid w:val="004E448E"/>
    <w:rsid w:val="004E5CB1"/>
    <w:rsid w:val="004E6634"/>
    <w:rsid w:val="004E66EA"/>
    <w:rsid w:val="004E7184"/>
    <w:rsid w:val="004F00FC"/>
    <w:rsid w:val="004F01D9"/>
    <w:rsid w:val="004F4426"/>
    <w:rsid w:val="004F5839"/>
    <w:rsid w:val="004F58E9"/>
    <w:rsid w:val="004F6CE6"/>
    <w:rsid w:val="00500200"/>
    <w:rsid w:val="005005F4"/>
    <w:rsid w:val="00501DFA"/>
    <w:rsid w:val="005024E7"/>
    <w:rsid w:val="0051086C"/>
    <w:rsid w:val="00511213"/>
    <w:rsid w:val="0051353E"/>
    <w:rsid w:val="00513932"/>
    <w:rsid w:val="00514106"/>
    <w:rsid w:val="00514DB1"/>
    <w:rsid w:val="0051534B"/>
    <w:rsid w:val="00515F1B"/>
    <w:rsid w:val="005169A9"/>
    <w:rsid w:val="00516EFD"/>
    <w:rsid w:val="005172FC"/>
    <w:rsid w:val="00517EC6"/>
    <w:rsid w:val="00523203"/>
    <w:rsid w:val="00524928"/>
    <w:rsid w:val="005254A6"/>
    <w:rsid w:val="00526151"/>
    <w:rsid w:val="00526657"/>
    <w:rsid w:val="005309EF"/>
    <w:rsid w:val="005313AA"/>
    <w:rsid w:val="0053356B"/>
    <w:rsid w:val="00535B8A"/>
    <w:rsid w:val="005368D2"/>
    <w:rsid w:val="005404BB"/>
    <w:rsid w:val="005406F7"/>
    <w:rsid w:val="00540C85"/>
    <w:rsid w:val="00543582"/>
    <w:rsid w:val="00550741"/>
    <w:rsid w:val="00551E78"/>
    <w:rsid w:val="005554C2"/>
    <w:rsid w:val="0055645D"/>
    <w:rsid w:val="005573F6"/>
    <w:rsid w:val="00566E55"/>
    <w:rsid w:val="00567561"/>
    <w:rsid w:val="00570B7E"/>
    <w:rsid w:val="00576CBD"/>
    <w:rsid w:val="00585A54"/>
    <w:rsid w:val="00587F04"/>
    <w:rsid w:val="00590D02"/>
    <w:rsid w:val="00591886"/>
    <w:rsid w:val="00593F8E"/>
    <w:rsid w:val="0059439C"/>
    <w:rsid w:val="0059500E"/>
    <w:rsid w:val="005951A2"/>
    <w:rsid w:val="005A0960"/>
    <w:rsid w:val="005A1194"/>
    <w:rsid w:val="005A5F3C"/>
    <w:rsid w:val="005B126E"/>
    <w:rsid w:val="005B1618"/>
    <w:rsid w:val="005B3A27"/>
    <w:rsid w:val="005C298B"/>
    <w:rsid w:val="005C3535"/>
    <w:rsid w:val="005C4BEC"/>
    <w:rsid w:val="005C5717"/>
    <w:rsid w:val="005D3F49"/>
    <w:rsid w:val="005D51E7"/>
    <w:rsid w:val="005E379A"/>
    <w:rsid w:val="005E7C45"/>
    <w:rsid w:val="005F0F26"/>
    <w:rsid w:val="005F1A77"/>
    <w:rsid w:val="005F4A36"/>
    <w:rsid w:val="005F4CDF"/>
    <w:rsid w:val="005F797E"/>
    <w:rsid w:val="00607D0A"/>
    <w:rsid w:val="00610AEA"/>
    <w:rsid w:val="00613340"/>
    <w:rsid w:val="00621BC8"/>
    <w:rsid w:val="00621D89"/>
    <w:rsid w:val="00623437"/>
    <w:rsid w:val="00626E42"/>
    <w:rsid w:val="00626FAD"/>
    <w:rsid w:val="006347E6"/>
    <w:rsid w:val="00635316"/>
    <w:rsid w:val="00636EE3"/>
    <w:rsid w:val="006414FB"/>
    <w:rsid w:val="0064207A"/>
    <w:rsid w:val="00651610"/>
    <w:rsid w:val="00651AED"/>
    <w:rsid w:val="00653D65"/>
    <w:rsid w:val="00657BA7"/>
    <w:rsid w:val="00663881"/>
    <w:rsid w:val="00665147"/>
    <w:rsid w:val="00665BC5"/>
    <w:rsid w:val="00675B23"/>
    <w:rsid w:val="00684CB1"/>
    <w:rsid w:val="00685C38"/>
    <w:rsid w:val="00687BE0"/>
    <w:rsid w:val="00691C06"/>
    <w:rsid w:val="006946CF"/>
    <w:rsid w:val="006A2BD1"/>
    <w:rsid w:val="006A4F46"/>
    <w:rsid w:val="006A742A"/>
    <w:rsid w:val="006A7C54"/>
    <w:rsid w:val="006B0993"/>
    <w:rsid w:val="006B35DB"/>
    <w:rsid w:val="006B3A87"/>
    <w:rsid w:val="006B3E8B"/>
    <w:rsid w:val="006B6BDB"/>
    <w:rsid w:val="006B71DC"/>
    <w:rsid w:val="006C58DB"/>
    <w:rsid w:val="006D0985"/>
    <w:rsid w:val="006D556D"/>
    <w:rsid w:val="006D7D11"/>
    <w:rsid w:val="006E053A"/>
    <w:rsid w:val="006E26B2"/>
    <w:rsid w:val="006E3D49"/>
    <w:rsid w:val="006E7509"/>
    <w:rsid w:val="006E788F"/>
    <w:rsid w:val="006E7ECF"/>
    <w:rsid w:val="006F1B3F"/>
    <w:rsid w:val="006F40F6"/>
    <w:rsid w:val="006F6ADC"/>
    <w:rsid w:val="006F6EE0"/>
    <w:rsid w:val="00700287"/>
    <w:rsid w:val="007040B2"/>
    <w:rsid w:val="00704FDA"/>
    <w:rsid w:val="00707214"/>
    <w:rsid w:val="00710E64"/>
    <w:rsid w:val="0071174B"/>
    <w:rsid w:val="00712A35"/>
    <w:rsid w:val="00713094"/>
    <w:rsid w:val="00714F48"/>
    <w:rsid w:val="007208F8"/>
    <w:rsid w:val="00720924"/>
    <w:rsid w:val="007223EC"/>
    <w:rsid w:val="00730092"/>
    <w:rsid w:val="007309BD"/>
    <w:rsid w:val="00731E4B"/>
    <w:rsid w:val="007340DC"/>
    <w:rsid w:val="007374F1"/>
    <w:rsid w:val="007377C0"/>
    <w:rsid w:val="00740D3C"/>
    <w:rsid w:val="007434A1"/>
    <w:rsid w:val="0074362E"/>
    <w:rsid w:val="0074632A"/>
    <w:rsid w:val="00746A8C"/>
    <w:rsid w:val="0075319D"/>
    <w:rsid w:val="00753AFF"/>
    <w:rsid w:val="00753E1F"/>
    <w:rsid w:val="007556FF"/>
    <w:rsid w:val="00756985"/>
    <w:rsid w:val="00756B14"/>
    <w:rsid w:val="00762E9C"/>
    <w:rsid w:val="007643B0"/>
    <w:rsid w:val="00765F1C"/>
    <w:rsid w:val="0077585D"/>
    <w:rsid w:val="007806F0"/>
    <w:rsid w:val="00791383"/>
    <w:rsid w:val="007921C8"/>
    <w:rsid w:val="00793412"/>
    <w:rsid w:val="00796D88"/>
    <w:rsid w:val="007A02FC"/>
    <w:rsid w:val="007A1703"/>
    <w:rsid w:val="007A61F8"/>
    <w:rsid w:val="007A72DD"/>
    <w:rsid w:val="007A7303"/>
    <w:rsid w:val="007B4B89"/>
    <w:rsid w:val="007C22BA"/>
    <w:rsid w:val="007C2898"/>
    <w:rsid w:val="007C518C"/>
    <w:rsid w:val="007C5AB7"/>
    <w:rsid w:val="007C7AE3"/>
    <w:rsid w:val="007D071F"/>
    <w:rsid w:val="007D271F"/>
    <w:rsid w:val="007D2C54"/>
    <w:rsid w:val="007D57BE"/>
    <w:rsid w:val="007E0E43"/>
    <w:rsid w:val="007E2D8F"/>
    <w:rsid w:val="007E485C"/>
    <w:rsid w:val="007E5E31"/>
    <w:rsid w:val="007E7074"/>
    <w:rsid w:val="007F5E93"/>
    <w:rsid w:val="007F5FF4"/>
    <w:rsid w:val="007F656F"/>
    <w:rsid w:val="007F6E85"/>
    <w:rsid w:val="0080031A"/>
    <w:rsid w:val="00801747"/>
    <w:rsid w:val="008047A0"/>
    <w:rsid w:val="008064C0"/>
    <w:rsid w:val="00806730"/>
    <w:rsid w:val="00807879"/>
    <w:rsid w:val="00816E6D"/>
    <w:rsid w:val="00816F8E"/>
    <w:rsid w:val="00821F64"/>
    <w:rsid w:val="008227AF"/>
    <w:rsid w:val="00823296"/>
    <w:rsid w:val="008277CC"/>
    <w:rsid w:val="00831B75"/>
    <w:rsid w:val="00834E7D"/>
    <w:rsid w:val="0084025A"/>
    <w:rsid w:val="008404DD"/>
    <w:rsid w:val="0084196C"/>
    <w:rsid w:val="0084253B"/>
    <w:rsid w:val="008466C6"/>
    <w:rsid w:val="008468C8"/>
    <w:rsid w:val="00850683"/>
    <w:rsid w:val="00850B7E"/>
    <w:rsid w:val="008511C5"/>
    <w:rsid w:val="00852D0E"/>
    <w:rsid w:val="008549EA"/>
    <w:rsid w:val="0085655F"/>
    <w:rsid w:val="0085664A"/>
    <w:rsid w:val="00857690"/>
    <w:rsid w:val="00863BF0"/>
    <w:rsid w:val="00865373"/>
    <w:rsid w:val="00867A42"/>
    <w:rsid w:val="00867D63"/>
    <w:rsid w:val="008744B4"/>
    <w:rsid w:val="008761D9"/>
    <w:rsid w:val="0087793C"/>
    <w:rsid w:val="0088078C"/>
    <w:rsid w:val="008819D2"/>
    <w:rsid w:val="00887B37"/>
    <w:rsid w:val="0089072E"/>
    <w:rsid w:val="008969ED"/>
    <w:rsid w:val="00897CB6"/>
    <w:rsid w:val="008A03E7"/>
    <w:rsid w:val="008A4E31"/>
    <w:rsid w:val="008B2318"/>
    <w:rsid w:val="008B5B4A"/>
    <w:rsid w:val="008B651B"/>
    <w:rsid w:val="008C687C"/>
    <w:rsid w:val="008C6BA4"/>
    <w:rsid w:val="008D2618"/>
    <w:rsid w:val="008D3684"/>
    <w:rsid w:val="008D5063"/>
    <w:rsid w:val="008E08C7"/>
    <w:rsid w:val="008E0C6E"/>
    <w:rsid w:val="008E16DA"/>
    <w:rsid w:val="008E1D38"/>
    <w:rsid w:val="008E2E8D"/>
    <w:rsid w:val="008E3668"/>
    <w:rsid w:val="008E6EAF"/>
    <w:rsid w:val="008F08E0"/>
    <w:rsid w:val="008F1E55"/>
    <w:rsid w:val="008F2712"/>
    <w:rsid w:val="008F2723"/>
    <w:rsid w:val="00912283"/>
    <w:rsid w:val="00913740"/>
    <w:rsid w:val="00916C44"/>
    <w:rsid w:val="009250C2"/>
    <w:rsid w:val="00935831"/>
    <w:rsid w:val="00935F62"/>
    <w:rsid w:val="00940366"/>
    <w:rsid w:val="00940901"/>
    <w:rsid w:val="009409D6"/>
    <w:rsid w:val="0094289C"/>
    <w:rsid w:val="009447CD"/>
    <w:rsid w:val="0094695D"/>
    <w:rsid w:val="009500DD"/>
    <w:rsid w:val="00950410"/>
    <w:rsid w:val="009530D3"/>
    <w:rsid w:val="00955130"/>
    <w:rsid w:val="009555F2"/>
    <w:rsid w:val="00967290"/>
    <w:rsid w:val="00970A82"/>
    <w:rsid w:val="00971499"/>
    <w:rsid w:val="00972540"/>
    <w:rsid w:val="00975E1B"/>
    <w:rsid w:val="009802AD"/>
    <w:rsid w:val="0098088D"/>
    <w:rsid w:val="0098133D"/>
    <w:rsid w:val="009861C5"/>
    <w:rsid w:val="009866C0"/>
    <w:rsid w:val="00987370"/>
    <w:rsid w:val="009902E3"/>
    <w:rsid w:val="0099216E"/>
    <w:rsid w:val="00992652"/>
    <w:rsid w:val="00992E5F"/>
    <w:rsid w:val="00993C2A"/>
    <w:rsid w:val="00993E2A"/>
    <w:rsid w:val="0099410C"/>
    <w:rsid w:val="00995C74"/>
    <w:rsid w:val="009A37E3"/>
    <w:rsid w:val="009B0175"/>
    <w:rsid w:val="009B21E9"/>
    <w:rsid w:val="009B5607"/>
    <w:rsid w:val="009C02D0"/>
    <w:rsid w:val="009C288F"/>
    <w:rsid w:val="009C3474"/>
    <w:rsid w:val="009C3CB7"/>
    <w:rsid w:val="009C5DB4"/>
    <w:rsid w:val="009C731E"/>
    <w:rsid w:val="009C7370"/>
    <w:rsid w:val="009D0B45"/>
    <w:rsid w:val="009D39FE"/>
    <w:rsid w:val="009D6101"/>
    <w:rsid w:val="009E2F8D"/>
    <w:rsid w:val="009E33BE"/>
    <w:rsid w:val="009E566A"/>
    <w:rsid w:val="009E76B8"/>
    <w:rsid w:val="009F3DEF"/>
    <w:rsid w:val="009F44E3"/>
    <w:rsid w:val="00A0099F"/>
    <w:rsid w:val="00A012C3"/>
    <w:rsid w:val="00A02207"/>
    <w:rsid w:val="00A046B8"/>
    <w:rsid w:val="00A15594"/>
    <w:rsid w:val="00A15B3E"/>
    <w:rsid w:val="00A17082"/>
    <w:rsid w:val="00A20BEF"/>
    <w:rsid w:val="00A20FD4"/>
    <w:rsid w:val="00A25171"/>
    <w:rsid w:val="00A3270C"/>
    <w:rsid w:val="00A32E01"/>
    <w:rsid w:val="00A352FE"/>
    <w:rsid w:val="00A3604B"/>
    <w:rsid w:val="00A40278"/>
    <w:rsid w:val="00A40FFA"/>
    <w:rsid w:val="00A41139"/>
    <w:rsid w:val="00A412CD"/>
    <w:rsid w:val="00A41D19"/>
    <w:rsid w:val="00A439A5"/>
    <w:rsid w:val="00A51B49"/>
    <w:rsid w:val="00A57E5A"/>
    <w:rsid w:val="00A61D42"/>
    <w:rsid w:val="00A65961"/>
    <w:rsid w:val="00A664D0"/>
    <w:rsid w:val="00A707AB"/>
    <w:rsid w:val="00A72D96"/>
    <w:rsid w:val="00A80A87"/>
    <w:rsid w:val="00A82607"/>
    <w:rsid w:val="00A83946"/>
    <w:rsid w:val="00A87AC2"/>
    <w:rsid w:val="00A90308"/>
    <w:rsid w:val="00A915B9"/>
    <w:rsid w:val="00A97DDE"/>
    <w:rsid w:val="00AA0638"/>
    <w:rsid w:val="00AA0FE4"/>
    <w:rsid w:val="00AA14BF"/>
    <w:rsid w:val="00AA18DC"/>
    <w:rsid w:val="00AA3D2A"/>
    <w:rsid w:val="00AA672E"/>
    <w:rsid w:val="00AB5D35"/>
    <w:rsid w:val="00AC5137"/>
    <w:rsid w:val="00AC5461"/>
    <w:rsid w:val="00AD4458"/>
    <w:rsid w:val="00AD5DBF"/>
    <w:rsid w:val="00AD6F1A"/>
    <w:rsid w:val="00AE19C1"/>
    <w:rsid w:val="00AE71EB"/>
    <w:rsid w:val="00AF287A"/>
    <w:rsid w:val="00AF5374"/>
    <w:rsid w:val="00AF599C"/>
    <w:rsid w:val="00AF68F0"/>
    <w:rsid w:val="00AF6C9A"/>
    <w:rsid w:val="00AF714F"/>
    <w:rsid w:val="00AF7214"/>
    <w:rsid w:val="00B00B05"/>
    <w:rsid w:val="00B01148"/>
    <w:rsid w:val="00B022D3"/>
    <w:rsid w:val="00B05DF5"/>
    <w:rsid w:val="00B11454"/>
    <w:rsid w:val="00B114BD"/>
    <w:rsid w:val="00B16F02"/>
    <w:rsid w:val="00B21A0D"/>
    <w:rsid w:val="00B27B90"/>
    <w:rsid w:val="00B31F5F"/>
    <w:rsid w:val="00B32323"/>
    <w:rsid w:val="00B42985"/>
    <w:rsid w:val="00B465AA"/>
    <w:rsid w:val="00B60BF0"/>
    <w:rsid w:val="00B61EEC"/>
    <w:rsid w:val="00B62D24"/>
    <w:rsid w:val="00B645DF"/>
    <w:rsid w:val="00B64E0A"/>
    <w:rsid w:val="00B674B4"/>
    <w:rsid w:val="00B6750D"/>
    <w:rsid w:val="00B71E4D"/>
    <w:rsid w:val="00B723A5"/>
    <w:rsid w:val="00B76443"/>
    <w:rsid w:val="00B80B09"/>
    <w:rsid w:val="00B811D0"/>
    <w:rsid w:val="00B82F1E"/>
    <w:rsid w:val="00B845AF"/>
    <w:rsid w:val="00B84F95"/>
    <w:rsid w:val="00B8515D"/>
    <w:rsid w:val="00B858B6"/>
    <w:rsid w:val="00B91852"/>
    <w:rsid w:val="00B94506"/>
    <w:rsid w:val="00B94992"/>
    <w:rsid w:val="00B97C54"/>
    <w:rsid w:val="00BA1652"/>
    <w:rsid w:val="00BA1F31"/>
    <w:rsid w:val="00BA4655"/>
    <w:rsid w:val="00BA529E"/>
    <w:rsid w:val="00BA738D"/>
    <w:rsid w:val="00BB5E28"/>
    <w:rsid w:val="00BC1B87"/>
    <w:rsid w:val="00BC24FA"/>
    <w:rsid w:val="00BC3EC9"/>
    <w:rsid w:val="00BD27D3"/>
    <w:rsid w:val="00BD62D4"/>
    <w:rsid w:val="00BD635E"/>
    <w:rsid w:val="00BD7CB6"/>
    <w:rsid w:val="00BE0E3E"/>
    <w:rsid w:val="00BE1FC0"/>
    <w:rsid w:val="00BE2C96"/>
    <w:rsid w:val="00BE430D"/>
    <w:rsid w:val="00BE6C82"/>
    <w:rsid w:val="00BE6CC7"/>
    <w:rsid w:val="00BF6D59"/>
    <w:rsid w:val="00C00096"/>
    <w:rsid w:val="00C045C2"/>
    <w:rsid w:val="00C04CAA"/>
    <w:rsid w:val="00C05A55"/>
    <w:rsid w:val="00C11CEB"/>
    <w:rsid w:val="00C13FA0"/>
    <w:rsid w:val="00C159F5"/>
    <w:rsid w:val="00C172EA"/>
    <w:rsid w:val="00C233BE"/>
    <w:rsid w:val="00C25529"/>
    <w:rsid w:val="00C313A4"/>
    <w:rsid w:val="00C32B9E"/>
    <w:rsid w:val="00C344BE"/>
    <w:rsid w:val="00C34E19"/>
    <w:rsid w:val="00C364A3"/>
    <w:rsid w:val="00C4362B"/>
    <w:rsid w:val="00C44618"/>
    <w:rsid w:val="00C50113"/>
    <w:rsid w:val="00C52BAA"/>
    <w:rsid w:val="00C559CA"/>
    <w:rsid w:val="00C601B5"/>
    <w:rsid w:val="00C67C1B"/>
    <w:rsid w:val="00C7036B"/>
    <w:rsid w:val="00C7424A"/>
    <w:rsid w:val="00C74D6B"/>
    <w:rsid w:val="00C75B15"/>
    <w:rsid w:val="00C77E9F"/>
    <w:rsid w:val="00C83F7E"/>
    <w:rsid w:val="00C851DC"/>
    <w:rsid w:val="00C863C4"/>
    <w:rsid w:val="00C90AD7"/>
    <w:rsid w:val="00C95E11"/>
    <w:rsid w:val="00CA0508"/>
    <w:rsid w:val="00CA11D4"/>
    <w:rsid w:val="00CA156B"/>
    <w:rsid w:val="00CA686D"/>
    <w:rsid w:val="00CA7C86"/>
    <w:rsid w:val="00CB1763"/>
    <w:rsid w:val="00CC0C5B"/>
    <w:rsid w:val="00CC292B"/>
    <w:rsid w:val="00CC422B"/>
    <w:rsid w:val="00CC60C7"/>
    <w:rsid w:val="00CC7C0C"/>
    <w:rsid w:val="00CC7DCF"/>
    <w:rsid w:val="00CD045D"/>
    <w:rsid w:val="00CD384C"/>
    <w:rsid w:val="00CD5056"/>
    <w:rsid w:val="00CD5FE8"/>
    <w:rsid w:val="00CD6497"/>
    <w:rsid w:val="00CD6A2F"/>
    <w:rsid w:val="00CE0240"/>
    <w:rsid w:val="00CE7A2A"/>
    <w:rsid w:val="00CF09CF"/>
    <w:rsid w:val="00CF1617"/>
    <w:rsid w:val="00CF16A4"/>
    <w:rsid w:val="00CF2F69"/>
    <w:rsid w:val="00CF3A6C"/>
    <w:rsid w:val="00CF68A4"/>
    <w:rsid w:val="00CF7361"/>
    <w:rsid w:val="00D00A49"/>
    <w:rsid w:val="00D00CB3"/>
    <w:rsid w:val="00D01E35"/>
    <w:rsid w:val="00D02209"/>
    <w:rsid w:val="00D05C2F"/>
    <w:rsid w:val="00D12F2B"/>
    <w:rsid w:val="00D17C73"/>
    <w:rsid w:val="00D214D4"/>
    <w:rsid w:val="00D23662"/>
    <w:rsid w:val="00D23E02"/>
    <w:rsid w:val="00D30245"/>
    <w:rsid w:val="00D30838"/>
    <w:rsid w:val="00D310DE"/>
    <w:rsid w:val="00D3186D"/>
    <w:rsid w:val="00D325E7"/>
    <w:rsid w:val="00D352E4"/>
    <w:rsid w:val="00D37477"/>
    <w:rsid w:val="00D37D42"/>
    <w:rsid w:val="00D41BBF"/>
    <w:rsid w:val="00D44C4F"/>
    <w:rsid w:val="00D54710"/>
    <w:rsid w:val="00D54AD1"/>
    <w:rsid w:val="00D57A5D"/>
    <w:rsid w:val="00D60418"/>
    <w:rsid w:val="00D63A8D"/>
    <w:rsid w:val="00D64CD4"/>
    <w:rsid w:val="00D66FAD"/>
    <w:rsid w:val="00D73D6C"/>
    <w:rsid w:val="00D74B30"/>
    <w:rsid w:val="00D77A91"/>
    <w:rsid w:val="00D811DA"/>
    <w:rsid w:val="00D853A1"/>
    <w:rsid w:val="00D87D7F"/>
    <w:rsid w:val="00DA053A"/>
    <w:rsid w:val="00DA08D6"/>
    <w:rsid w:val="00DA0C31"/>
    <w:rsid w:val="00DA0F27"/>
    <w:rsid w:val="00DA5B1E"/>
    <w:rsid w:val="00DB03A3"/>
    <w:rsid w:val="00DB5909"/>
    <w:rsid w:val="00DB6D40"/>
    <w:rsid w:val="00DC023B"/>
    <w:rsid w:val="00DC2101"/>
    <w:rsid w:val="00DC316D"/>
    <w:rsid w:val="00DC3DA2"/>
    <w:rsid w:val="00DC4F4C"/>
    <w:rsid w:val="00DC5672"/>
    <w:rsid w:val="00DC61D5"/>
    <w:rsid w:val="00DD0943"/>
    <w:rsid w:val="00DD163C"/>
    <w:rsid w:val="00DD1C5E"/>
    <w:rsid w:val="00DD4590"/>
    <w:rsid w:val="00DD5CEE"/>
    <w:rsid w:val="00DE24EC"/>
    <w:rsid w:val="00DE3662"/>
    <w:rsid w:val="00DE4705"/>
    <w:rsid w:val="00DF4E1C"/>
    <w:rsid w:val="00E012CD"/>
    <w:rsid w:val="00E01963"/>
    <w:rsid w:val="00E01B37"/>
    <w:rsid w:val="00E02ABF"/>
    <w:rsid w:val="00E02FEA"/>
    <w:rsid w:val="00E10044"/>
    <w:rsid w:val="00E1142B"/>
    <w:rsid w:val="00E11B4C"/>
    <w:rsid w:val="00E12C25"/>
    <w:rsid w:val="00E2014F"/>
    <w:rsid w:val="00E22001"/>
    <w:rsid w:val="00E23EB3"/>
    <w:rsid w:val="00E25AE0"/>
    <w:rsid w:val="00E2619B"/>
    <w:rsid w:val="00E304D3"/>
    <w:rsid w:val="00E30519"/>
    <w:rsid w:val="00E30AB0"/>
    <w:rsid w:val="00E30F15"/>
    <w:rsid w:val="00E33FAB"/>
    <w:rsid w:val="00E341C1"/>
    <w:rsid w:val="00E34B5C"/>
    <w:rsid w:val="00E40A26"/>
    <w:rsid w:val="00E41301"/>
    <w:rsid w:val="00E41C9B"/>
    <w:rsid w:val="00E41EF3"/>
    <w:rsid w:val="00E427CC"/>
    <w:rsid w:val="00E46D0C"/>
    <w:rsid w:val="00E51306"/>
    <w:rsid w:val="00E51DF4"/>
    <w:rsid w:val="00E60F7F"/>
    <w:rsid w:val="00E62E35"/>
    <w:rsid w:val="00E63387"/>
    <w:rsid w:val="00E65515"/>
    <w:rsid w:val="00E65A91"/>
    <w:rsid w:val="00E66B57"/>
    <w:rsid w:val="00E671BF"/>
    <w:rsid w:val="00E738A2"/>
    <w:rsid w:val="00E74465"/>
    <w:rsid w:val="00E80ADC"/>
    <w:rsid w:val="00E848CA"/>
    <w:rsid w:val="00E87332"/>
    <w:rsid w:val="00E87B13"/>
    <w:rsid w:val="00E9153D"/>
    <w:rsid w:val="00E92DA5"/>
    <w:rsid w:val="00E934E6"/>
    <w:rsid w:val="00E93D0B"/>
    <w:rsid w:val="00E950CF"/>
    <w:rsid w:val="00E95F87"/>
    <w:rsid w:val="00E968A3"/>
    <w:rsid w:val="00EA7146"/>
    <w:rsid w:val="00EB0955"/>
    <w:rsid w:val="00EB2FA1"/>
    <w:rsid w:val="00EB407A"/>
    <w:rsid w:val="00EB442F"/>
    <w:rsid w:val="00EC03E1"/>
    <w:rsid w:val="00EC7A97"/>
    <w:rsid w:val="00ED00BD"/>
    <w:rsid w:val="00ED0C8F"/>
    <w:rsid w:val="00ED6CAC"/>
    <w:rsid w:val="00EF36F5"/>
    <w:rsid w:val="00F0105B"/>
    <w:rsid w:val="00F01713"/>
    <w:rsid w:val="00F01729"/>
    <w:rsid w:val="00F05656"/>
    <w:rsid w:val="00F061A0"/>
    <w:rsid w:val="00F07285"/>
    <w:rsid w:val="00F14300"/>
    <w:rsid w:val="00F2129E"/>
    <w:rsid w:val="00F2480F"/>
    <w:rsid w:val="00F26996"/>
    <w:rsid w:val="00F27D50"/>
    <w:rsid w:val="00F31D36"/>
    <w:rsid w:val="00F320FA"/>
    <w:rsid w:val="00F33049"/>
    <w:rsid w:val="00F37160"/>
    <w:rsid w:val="00F37AE9"/>
    <w:rsid w:val="00F41830"/>
    <w:rsid w:val="00F42497"/>
    <w:rsid w:val="00F43E5E"/>
    <w:rsid w:val="00F46DFD"/>
    <w:rsid w:val="00F53526"/>
    <w:rsid w:val="00F549FD"/>
    <w:rsid w:val="00F54F30"/>
    <w:rsid w:val="00F567E1"/>
    <w:rsid w:val="00F57A74"/>
    <w:rsid w:val="00F60410"/>
    <w:rsid w:val="00F61317"/>
    <w:rsid w:val="00F61F62"/>
    <w:rsid w:val="00F65DCC"/>
    <w:rsid w:val="00F7758E"/>
    <w:rsid w:val="00F8389D"/>
    <w:rsid w:val="00F83A8A"/>
    <w:rsid w:val="00F8519F"/>
    <w:rsid w:val="00F860DA"/>
    <w:rsid w:val="00F87340"/>
    <w:rsid w:val="00F90CAA"/>
    <w:rsid w:val="00F95D0D"/>
    <w:rsid w:val="00F973D6"/>
    <w:rsid w:val="00FA0CDB"/>
    <w:rsid w:val="00FA163B"/>
    <w:rsid w:val="00FA2827"/>
    <w:rsid w:val="00FA511A"/>
    <w:rsid w:val="00FB2601"/>
    <w:rsid w:val="00FB4042"/>
    <w:rsid w:val="00FB4118"/>
    <w:rsid w:val="00FC22C8"/>
    <w:rsid w:val="00FC3D3C"/>
    <w:rsid w:val="00FC59D0"/>
    <w:rsid w:val="00FD08F6"/>
    <w:rsid w:val="00FE5DF7"/>
    <w:rsid w:val="00FF01C0"/>
    <w:rsid w:val="00FF5950"/>
    <w:rsid w:val="00FF65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E28D12"/>
  <w15:chartTrackingRefBased/>
  <w15:docId w15:val="{581ECD22-9528-45D6-897D-AA372683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E7509"/>
    <w:pPr>
      <w:tabs>
        <w:tab w:val="center" w:pos="4153"/>
        <w:tab w:val="right" w:pos="8306"/>
      </w:tabs>
    </w:pPr>
  </w:style>
  <w:style w:type="paragraph" w:styleId="Footer">
    <w:name w:val="footer"/>
    <w:basedOn w:val="Normal"/>
    <w:rsid w:val="006E7509"/>
    <w:pPr>
      <w:tabs>
        <w:tab w:val="center" w:pos="4153"/>
        <w:tab w:val="right" w:pos="8306"/>
      </w:tabs>
    </w:pPr>
  </w:style>
  <w:style w:type="character" w:customStyle="1" w:styleId="hps">
    <w:name w:val="hps"/>
    <w:basedOn w:val="DefaultParagraphFont"/>
    <w:rsid w:val="003C7ED4"/>
  </w:style>
  <w:style w:type="paragraph" w:styleId="Date">
    <w:name w:val="Date"/>
    <w:basedOn w:val="Normal"/>
    <w:next w:val="Normal"/>
    <w:rsid w:val="00C44618"/>
  </w:style>
  <w:style w:type="paragraph" w:styleId="BalloonText">
    <w:name w:val="Balloon Text"/>
    <w:basedOn w:val="Normal"/>
    <w:link w:val="BalloonTextChar"/>
    <w:rsid w:val="00E93D0B"/>
    <w:rPr>
      <w:rFonts w:ascii="Tahoma" w:hAnsi="Tahoma" w:cs="Tahoma"/>
      <w:sz w:val="16"/>
      <w:szCs w:val="16"/>
    </w:rPr>
  </w:style>
  <w:style w:type="character" w:customStyle="1" w:styleId="BalloonTextChar">
    <w:name w:val="Balloon Text Char"/>
    <w:link w:val="BalloonText"/>
    <w:rsid w:val="00E93D0B"/>
    <w:rPr>
      <w:rFonts w:ascii="Tahoma" w:hAnsi="Tahoma" w:cs="Tahoma"/>
      <w:sz w:val="16"/>
      <w:szCs w:val="16"/>
    </w:rPr>
  </w:style>
  <w:style w:type="character" w:styleId="Hyperlink">
    <w:name w:val="Hyperlink"/>
    <w:uiPriority w:val="99"/>
    <w:unhideWhenUsed/>
    <w:rsid w:val="00E02FEA"/>
    <w:rPr>
      <w:rFonts w:ascii="Arial" w:hAnsi="Arial" w:cs="Arial" w:hint="default"/>
      <w:strike w:val="0"/>
      <w:dstrike w:val="0"/>
      <w:color w:val="1122CC"/>
      <w:u w:val="none"/>
      <w:effect w:val="none"/>
    </w:rPr>
  </w:style>
  <w:style w:type="paragraph" w:customStyle="1" w:styleId="ordinary-output">
    <w:name w:val="ordinary-output"/>
    <w:basedOn w:val="Normal"/>
    <w:rsid w:val="00CF16A4"/>
    <w:pPr>
      <w:spacing w:before="100" w:beforeAutospacing="1" w:after="100" w:afterAutospacing="1" w:line="330" w:lineRule="atLeast"/>
    </w:pPr>
    <w:rPr>
      <w:rFonts w:eastAsia="Times New Roman"/>
      <w:color w:val="333333"/>
    </w:rPr>
  </w:style>
  <w:style w:type="character" w:customStyle="1" w:styleId="high-light-bg4">
    <w:name w:val="high-light-bg4"/>
    <w:rsid w:val="00CF16A4"/>
  </w:style>
  <w:style w:type="table" w:styleId="TableGrid">
    <w:name w:val="Table Grid"/>
    <w:basedOn w:val="TableNormal"/>
    <w:rsid w:val="00BE2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rsid w:val="00AF6C9A"/>
    <w:pPr>
      <w:widowControl w:val="0"/>
      <w:overflowPunct w:val="0"/>
      <w:autoSpaceDE w:val="0"/>
      <w:autoSpaceDN w:val="0"/>
      <w:adjustRightInd w:val="0"/>
      <w:textAlignment w:val="baseline"/>
    </w:pPr>
    <w:rPr>
      <w:rFonts w:ascii="BatangChe" w:eastAsia="BatangChe"/>
      <w:kern w:val="2"/>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3304">
      <w:bodyDiv w:val="1"/>
      <w:marLeft w:val="0"/>
      <w:marRight w:val="0"/>
      <w:marTop w:val="0"/>
      <w:marBottom w:val="0"/>
      <w:divBdr>
        <w:top w:val="none" w:sz="0" w:space="0" w:color="auto"/>
        <w:left w:val="none" w:sz="0" w:space="0" w:color="auto"/>
        <w:bottom w:val="none" w:sz="0" w:space="0" w:color="auto"/>
        <w:right w:val="none" w:sz="0" w:space="0" w:color="auto"/>
      </w:divBdr>
      <w:divsChild>
        <w:div w:id="434205384">
          <w:marLeft w:val="0"/>
          <w:marRight w:val="0"/>
          <w:marTop w:val="0"/>
          <w:marBottom w:val="0"/>
          <w:divBdr>
            <w:top w:val="none" w:sz="0" w:space="0" w:color="auto"/>
            <w:left w:val="none" w:sz="0" w:space="0" w:color="auto"/>
            <w:bottom w:val="none" w:sz="0" w:space="0" w:color="auto"/>
            <w:right w:val="none" w:sz="0" w:space="0" w:color="auto"/>
          </w:divBdr>
          <w:divsChild>
            <w:div w:id="1380083833">
              <w:marLeft w:val="0"/>
              <w:marRight w:val="0"/>
              <w:marTop w:val="0"/>
              <w:marBottom w:val="0"/>
              <w:divBdr>
                <w:top w:val="none" w:sz="0" w:space="0" w:color="auto"/>
                <w:left w:val="none" w:sz="0" w:space="0" w:color="auto"/>
                <w:bottom w:val="none" w:sz="0" w:space="0" w:color="auto"/>
                <w:right w:val="none" w:sz="0" w:space="0" w:color="auto"/>
              </w:divBdr>
              <w:divsChild>
                <w:div w:id="778839158">
                  <w:marLeft w:val="0"/>
                  <w:marRight w:val="0"/>
                  <w:marTop w:val="0"/>
                  <w:marBottom w:val="0"/>
                  <w:divBdr>
                    <w:top w:val="none" w:sz="0" w:space="0" w:color="auto"/>
                    <w:left w:val="none" w:sz="0" w:space="0" w:color="auto"/>
                    <w:bottom w:val="none" w:sz="0" w:space="0" w:color="auto"/>
                    <w:right w:val="none" w:sz="0" w:space="0" w:color="auto"/>
                  </w:divBdr>
                  <w:divsChild>
                    <w:div w:id="1956793324">
                      <w:marLeft w:val="0"/>
                      <w:marRight w:val="0"/>
                      <w:marTop w:val="0"/>
                      <w:marBottom w:val="0"/>
                      <w:divBdr>
                        <w:top w:val="none" w:sz="0" w:space="0" w:color="auto"/>
                        <w:left w:val="none" w:sz="0" w:space="0" w:color="auto"/>
                        <w:bottom w:val="none" w:sz="0" w:space="0" w:color="auto"/>
                        <w:right w:val="none" w:sz="0" w:space="0" w:color="auto"/>
                      </w:divBdr>
                      <w:divsChild>
                        <w:div w:id="632759735">
                          <w:marLeft w:val="0"/>
                          <w:marRight w:val="0"/>
                          <w:marTop w:val="0"/>
                          <w:marBottom w:val="900"/>
                          <w:divBdr>
                            <w:top w:val="none" w:sz="0" w:space="0" w:color="auto"/>
                            <w:left w:val="none" w:sz="0" w:space="0" w:color="auto"/>
                            <w:bottom w:val="none" w:sz="0" w:space="0" w:color="auto"/>
                            <w:right w:val="none" w:sz="0" w:space="0" w:color="auto"/>
                          </w:divBdr>
                          <w:divsChild>
                            <w:div w:id="1206135738">
                              <w:marLeft w:val="0"/>
                              <w:marRight w:val="0"/>
                              <w:marTop w:val="0"/>
                              <w:marBottom w:val="0"/>
                              <w:divBdr>
                                <w:top w:val="none" w:sz="0" w:space="0" w:color="auto"/>
                                <w:left w:val="none" w:sz="0" w:space="0" w:color="auto"/>
                                <w:bottom w:val="none" w:sz="0" w:space="0" w:color="auto"/>
                                <w:right w:val="none" w:sz="0" w:space="0" w:color="auto"/>
                              </w:divBdr>
                              <w:divsChild>
                                <w:div w:id="283267099">
                                  <w:marLeft w:val="0"/>
                                  <w:marRight w:val="0"/>
                                  <w:marTop w:val="0"/>
                                  <w:marBottom w:val="0"/>
                                  <w:divBdr>
                                    <w:top w:val="none" w:sz="0" w:space="0" w:color="auto"/>
                                    <w:left w:val="none" w:sz="0" w:space="0" w:color="auto"/>
                                    <w:bottom w:val="none" w:sz="0" w:space="0" w:color="auto"/>
                                    <w:right w:val="none" w:sz="0" w:space="0" w:color="auto"/>
                                  </w:divBdr>
                                  <w:divsChild>
                                    <w:div w:id="1845242306">
                                      <w:marLeft w:val="0"/>
                                      <w:marRight w:val="0"/>
                                      <w:marTop w:val="0"/>
                                      <w:marBottom w:val="0"/>
                                      <w:divBdr>
                                        <w:top w:val="none" w:sz="0" w:space="0" w:color="auto"/>
                                        <w:left w:val="none" w:sz="0" w:space="0" w:color="auto"/>
                                        <w:bottom w:val="none" w:sz="0" w:space="0" w:color="auto"/>
                                        <w:right w:val="none" w:sz="0" w:space="0" w:color="auto"/>
                                      </w:divBdr>
                                      <w:divsChild>
                                        <w:div w:id="1602185403">
                                          <w:marLeft w:val="0"/>
                                          <w:marRight w:val="0"/>
                                          <w:marTop w:val="0"/>
                                          <w:marBottom w:val="0"/>
                                          <w:divBdr>
                                            <w:top w:val="none" w:sz="0" w:space="0" w:color="auto"/>
                                            <w:left w:val="none" w:sz="0" w:space="0" w:color="auto"/>
                                            <w:bottom w:val="none" w:sz="0" w:space="0" w:color="auto"/>
                                            <w:right w:val="none" w:sz="0" w:space="0" w:color="auto"/>
                                          </w:divBdr>
                                          <w:divsChild>
                                            <w:div w:id="362483415">
                                              <w:marLeft w:val="0"/>
                                              <w:marRight w:val="0"/>
                                              <w:marTop w:val="0"/>
                                              <w:marBottom w:val="0"/>
                                              <w:divBdr>
                                                <w:top w:val="none" w:sz="0" w:space="0" w:color="auto"/>
                                                <w:left w:val="none" w:sz="0" w:space="0" w:color="auto"/>
                                                <w:bottom w:val="none" w:sz="0" w:space="0" w:color="auto"/>
                                                <w:right w:val="none" w:sz="0" w:space="0" w:color="auto"/>
                                              </w:divBdr>
                                              <w:divsChild>
                                                <w:div w:id="876699148">
                                                  <w:marLeft w:val="0"/>
                                                  <w:marRight w:val="0"/>
                                                  <w:marTop w:val="0"/>
                                                  <w:marBottom w:val="0"/>
                                                  <w:divBdr>
                                                    <w:top w:val="single" w:sz="6" w:space="0" w:color="EEEEEE"/>
                                                    <w:left w:val="none" w:sz="0" w:space="0" w:color="auto"/>
                                                    <w:bottom w:val="single" w:sz="6" w:space="0" w:color="EEEEEE"/>
                                                    <w:right w:val="single" w:sz="6" w:space="0" w:color="EEEEEE"/>
                                                  </w:divBdr>
                                                  <w:divsChild>
                                                    <w:div w:id="8317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0339956">
      <w:bodyDiv w:val="1"/>
      <w:marLeft w:val="0"/>
      <w:marRight w:val="0"/>
      <w:marTop w:val="0"/>
      <w:marBottom w:val="0"/>
      <w:divBdr>
        <w:top w:val="none" w:sz="0" w:space="0" w:color="auto"/>
        <w:left w:val="none" w:sz="0" w:space="0" w:color="auto"/>
        <w:bottom w:val="none" w:sz="0" w:space="0" w:color="auto"/>
        <w:right w:val="none" w:sz="0" w:space="0" w:color="auto"/>
      </w:divBdr>
      <w:divsChild>
        <w:div w:id="49378661">
          <w:marLeft w:val="0"/>
          <w:marRight w:val="0"/>
          <w:marTop w:val="0"/>
          <w:marBottom w:val="0"/>
          <w:divBdr>
            <w:top w:val="none" w:sz="0" w:space="0" w:color="auto"/>
            <w:left w:val="none" w:sz="0" w:space="0" w:color="auto"/>
            <w:bottom w:val="none" w:sz="0" w:space="0" w:color="auto"/>
            <w:right w:val="none" w:sz="0" w:space="0" w:color="auto"/>
          </w:divBdr>
          <w:divsChild>
            <w:div w:id="103813748">
              <w:marLeft w:val="0"/>
              <w:marRight w:val="0"/>
              <w:marTop w:val="0"/>
              <w:marBottom w:val="0"/>
              <w:divBdr>
                <w:top w:val="none" w:sz="0" w:space="0" w:color="auto"/>
                <w:left w:val="none" w:sz="0" w:space="0" w:color="auto"/>
                <w:bottom w:val="none" w:sz="0" w:space="0" w:color="auto"/>
                <w:right w:val="none" w:sz="0" w:space="0" w:color="auto"/>
              </w:divBdr>
              <w:divsChild>
                <w:div w:id="496190315">
                  <w:marLeft w:val="0"/>
                  <w:marRight w:val="0"/>
                  <w:marTop w:val="0"/>
                  <w:marBottom w:val="0"/>
                  <w:divBdr>
                    <w:top w:val="none" w:sz="0" w:space="0" w:color="auto"/>
                    <w:left w:val="none" w:sz="0" w:space="0" w:color="auto"/>
                    <w:bottom w:val="none" w:sz="0" w:space="0" w:color="auto"/>
                    <w:right w:val="none" w:sz="0" w:space="0" w:color="auto"/>
                  </w:divBdr>
                  <w:divsChild>
                    <w:div w:id="416051349">
                      <w:marLeft w:val="0"/>
                      <w:marRight w:val="0"/>
                      <w:marTop w:val="0"/>
                      <w:marBottom w:val="0"/>
                      <w:divBdr>
                        <w:top w:val="none" w:sz="0" w:space="0" w:color="auto"/>
                        <w:left w:val="none" w:sz="0" w:space="0" w:color="auto"/>
                        <w:bottom w:val="none" w:sz="0" w:space="0" w:color="auto"/>
                        <w:right w:val="none" w:sz="0" w:space="0" w:color="auto"/>
                      </w:divBdr>
                      <w:divsChild>
                        <w:div w:id="595216993">
                          <w:marLeft w:val="0"/>
                          <w:marRight w:val="0"/>
                          <w:marTop w:val="0"/>
                          <w:marBottom w:val="0"/>
                          <w:divBdr>
                            <w:top w:val="none" w:sz="0" w:space="0" w:color="auto"/>
                            <w:left w:val="none" w:sz="0" w:space="0" w:color="auto"/>
                            <w:bottom w:val="none" w:sz="0" w:space="0" w:color="auto"/>
                            <w:right w:val="none" w:sz="0" w:space="0" w:color="auto"/>
                          </w:divBdr>
                          <w:divsChild>
                            <w:div w:id="1515270098">
                              <w:marLeft w:val="0"/>
                              <w:marRight w:val="0"/>
                              <w:marTop w:val="0"/>
                              <w:marBottom w:val="0"/>
                              <w:divBdr>
                                <w:top w:val="none" w:sz="0" w:space="0" w:color="auto"/>
                                <w:left w:val="none" w:sz="0" w:space="0" w:color="auto"/>
                                <w:bottom w:val="none" w:sz="0" w:space="0" w:color="auto"/>
                                <w:right w:val="none" w:sz="0" w:space="0" w:color="auto"/>
                              </w:divBdr>
                              <w:divsChild>
                                <w:div w:id="264772966">
                                  <w:marLeft w:val="0"/>
                                  <w:marRight w:val="0"/>
                                  <w:marTop w:val="0"/>
                                  <w:marBottom w:val="0"/>
                                  <w:divBdr>
                                    <w:top w:val="none" w:sz="0" w:space="0" w:color="auto"/>
                                    <w:left w:val="none" w:sz="0" w:space="0" w:color="auto"/>
                                    <w:bottom w:val="none" w:sz="0" w:space="0" w:color="auto"/>
                                    <w:right w:val="none" w:sz="0" w:space="0" w:color="auto"/>
                                  </w:divBdr>
                                  <w:divsChild>
                                    <w:div w:id="1937210881">
                                      <w:marLeft w:val="0"/>
                                      <w:marRight w:val="0"/>
                                      <w:marTop w:val="0"/>
                                      <w:marBottom w:val="0"/>
                                      <w:divBdr>
                                        <w:top w:val="none" w:sz="0" w:space="0" w:color="auto"/>
                                        <w:left w:val="none" w:sz="0" w:space="0" w:color="auto"/>
                                        <w:bottom w:val="none" w:sz="0" w:space="0" w:color="auto"/>
                                        <w:right w:val="none" w:sz="0" w:space="0" w:color="auto"/>
                                      </w:divBdr>
                                      <w:divsChild>
                                        <w:div w:id="75791618">
                                          <w:marLeft w:val="0"/>
                                          <w:marRight w:val="0"/>
                                          <w:marTop w:val="0"/>
                                          <w:marBottom w:val="0"/>
                                          <w:divBdr>
                                            <w:top w:val="none" w:sz="0" w:space="0" w:color="auto"/>
                                            <w:left w:val="none" w:sz="0" w:space="0" w:color="auto"/>
                                            <w:bottom w:val="none" w:sz="0" w:space="0" w:color="auto"/>
                                            <w:right w:val="none" w:sz="0" w:space="0" w:color="auto"/>
                                          </w:divBdr>
                                          <w:divsChild>
                                            <w:div w:id="490175774">
                                              <w:marLeft w:val="0"/>
                                              <w:marRight w:val="0"/>
                                              <w:marTop w:val="0"/>
                                              <w:marBottom w:val="0"/>
                                              <w:divBdr>
                                                <w:top w:val="none" w:sz="0" w:space="0" w:color="auto"/>
                                                <w:left w:val="none" w:sz="0" w:space="0" w:color="auto"/>
                                                <w:bottom w:val="none" w:sz="0" w:space="0" w:color="auto"/>
                                                <w:right w:val="none" w:sz="0" w:space="0" w:color="auto"/>
                                              </w:divBdr>
                                              <w:divsChild>
                                                <w:div w:id="1124695179">
                                                  <w:marLeft w:val="0"/>
                                                  <w:marRight w:val="0"/>
                                                  <w:marTop w:val="0"/>
                                                  <w:marBottom w:val="0"/>
                                                  <w:divBdr>
                                                    <w:top w:val="none" w:sz="0" w:space="0" w:color="auto"/>
                                                    <w:left w:val="none" w:sz="0" w:space="0" w:color="auto"/>
                                                    <w:bottom w:val="none" w:sz="0" w:space="0" w:color="auto"/>
                                                    <w:right w:val="none" w:sz="0" w:space="0" w:color="auto"/>
                                                  </w:divBdr>
                                                  <w:divsChild>
                                                    <w:div w:id="190159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8004652">
      <w:bodyDiv w:val="1"/>
      <w:marLeft w:val="0"/>
      <w:marRight w:val="0"/>
      <w:marTop w:val="0"/>
      <w:marBottom w:val="0"/>
      <w:divBdr>
        <w:top w:val="none" w:sz="0" w:space="0" w:color="auto"/>
        <w:left w:val="none" w:sz="0" w:space="0" w:color="auto"/>
        <w:bottom w:val="none" w:sz="0" w:space="0" w:color="auto"/>
        <w:right w:val="none" w:sz="0" w:space="0" w:color="auto"/>
      </w:divBdr>
      <w:divsChild>
        <w:div w:id="1457026362">
          <w:marLeft w:val="0"/>
          <w:marRight w:val="0"/>
          <w:marTop w:val="0"/>
          <w:marBottom w:val="0"/>
          <w:divBdr>
            <w:top w:val="none" w:sz="0" w:space="0" w:color="auto"/>
            <w:left w:val="none" w:sz="0" w:space="0" w:color="auto"/>
            <w:bottom w:val="none" w:sz="0" w:space="0" w:color="auto"/>
            <w:right w:val="none" w:sz="0" w:space="0" w:color="auto"/>
          </w:divBdr>
          <w:divsChild>
            <w:div w:id="145049604">
              <w:marLeft w:val="0"/>
              <w:marRight w:val="0"/>
              <w:marTop w:val="0"/>
              <w:marBottom w:val="0"/>
              <w:divBdr>
                <w:top w:val="none" w:sz="0" w:space="0" w:color="auto"/>
                <w:left w:val="none" w:sz="0" w:space="0" w:color="auto"/>
                <w:bottom w:val="none" w:sz="0" w:space="0" w:color="auto"/>
                <w:right w:val="none" w:sz="0" w:space="0" w:color="auto"/>
              </w:divBdr>
              <w:divsChild>
                <w:div w:id="262538854">
                  <w:marLeft w:val="0"/>
                  <w:marRight w:val="0"/>
                  <w:marTop w:val="0"/>
                  <w:marBottom w:val="0"/>
                  <w:divBdr>
                    <w:top w:val="none" w:sz="0" w:space="0" w:color="auto"/>
                    <w:left w:val="none" w:sz="0" w:space="0" w:color="auto"/>
                    <w:bottom w:val="none" w:sz="0" w:space="0" w:color="auto"/>
                    <w:right w:val="none" w:sz="0" w:space="0" w:color="auto"/>
                  </w:divBdr>
                  <w:divsChild>
                    <w:div w:id="380400215">
                      <w:marLeft w:val="0"/>
                      <w:marRight w:val="0"/>
                      <w:marTop w:val="0"/>
                      <w:marBottom w:val="0"/>
                      <w:divBdr>
                        <w:top w:val="none" w:sz="0" w:space="0" w:color="auto"/>
                        <w:left w:val="none" w:sz="0" w:space="0" w:color="auto"/>
                        <w:bottom w:val="none" w:sz="0" w:space="0" w:color="auto"/>
                        <w:right w:val="none" w:sz="0" w:space="0" w:color="auto"/>
                      </w:divBdr>
                      <w:divsChild>
                        <w:div w:id="581378601">
                          <w:marLeft w:val="0"/>
                          <w:marRight w:val="0"/>
                          <w:marTop w:val="0"/>
                          <w:marBottom w:val="900"/>
                          <w:divBdr>
                            <w:top w:val="none" w:sz="0" w:space="0" w:color="auto"/>
                            <w:left w:val="none" w:sz="0" w:space="0" w:color="auto"/>
                            <w:bottom w:val="none" w:sz="0" w:space="0" w:color="auto"/>
                            <w:right w:val="none" w:sz="0" w:space="0" w:color="auto"/>
                          </w:divBdr>
                          <w:divsChild>
                            <w:div w:id="1159886347">
                              <w:marLeft w:val="0"/>
                              <w:marRight w:val="0"/>
                              <w:marTop w:val="0"/>
                              <w:marBottom w:val="0"/>
                              <w:divBdr>
                                <w:top w:val="none" w:sz="0" w:space="0" w:color="auto"/>
                                <w:left w:val="none" w:sz="0" w:space="0" w:color="auto"/>
                                <w:bottom w:val="none" w:sz="0" w:space="0" w:color="auto"/>
                                <w:right w:val="none" w:sz="0" w:space="0" w:color="auto"/>
                              </w:divBdr>
                              <w:divsChild>
                                <w:div w:id="696352749">
                                  <w:marLeft w:val="0"/>
                                  <w:marRight w:val="0"/>
                                  <w:marTop w:val="0"/>
                                  <w:marBottom w:val="0"/>
                                  <w:divBdr>
                                    <w:top w:val="none" w:sz="0" w:space="0" w:color="auto"/>
                                    <w:left w:val="none" w:sz="0" w:space="0" w:color="auto"/>
                                    <w:bottom w:val="none" w:sz="0" w:space="0" w:color="auto"/>
                                    <w:right w:val="none" w:sz="0" w:space="0" w:color="auto"/>
                                  </w:divBdr>
                                  <w:divsChild>
                                    <w:div w:id="1036657190">
                                      <w:marLeft w:val="0"/>
                                      <w:marRight w:val="0"/>
                                      <w:marTop w:val="0"/>
                                      <w:marBottom w:val="0"/>
                                      <w:divBdr>
                                        <w:top w:val="none" w:sz="0" w:space="0" w:color="auto"/>
                                        <w:left w:val="none" w:sz="0" w:space="0" w:color="auto"/>
                                        <w:bottom w:val="none" w:sz="0" w:space="0" w:color="auto"/>
                                        <w:right w:val="none" w:sz="0" w:space="0" w:color="auto"/>
                                      </w:divBdr>
                                      <w:divsChild>
                                        <w:div w:id="922185374">
                                          <w:marLeft w:val="0"/>
                                          <w:marRight w:val="0"/>
                                          <w:marTop w:val="0"/>
                                          <w:marBottom w:val="0"/>
                                          <w:divBdr>
                                            <w:top w:val="none" w:sz="0" w:space="0" w:color="auto"/>
                                            <w:left w:val="none" w:sz="0" w:space="0" w:color="auto"/>
                                            <w:bottom w:val="none" w:sz="0" w:space="0" w:color="auto"/>
                                            <w:right w:val="none" w:sz="0" w:space="0" w:color="auto"/>
                                          </w:divBdr>
                                          <w:divsChild>
                                            <w:div w:id="1458403808">
                                              <w:marLeft w:val="0"/>
                                              <w:marRight w:val="0"/>
                                              <w:marTop w:val="0"/>
                                              <w:marBottom w:val="0"/>
                                              <w:divBdr>
                                                <w:top w:val="none" w:sz="0" w:space="0" w:color="auto"/>
                                                <w:left w:val="none" w:sz="0" w:space="0" w:color="auto"/>
                                                <w:bottom w:val="none" w:sz="0" w:space="0" w:color="auto"/>
                                                <w:right w:val="none" w:sz="0" w:space="0" w:color="auto"/>
                                              </w:divBdr>
                                              <w:divsChild>
                                                <w:div w:id="1380401292">
                                                  <w:marLeft w:val="0"/>
                                                  <w:marRight w:val="0"/>
                                                  <w:marTop w:val="0"/>
                                                  <w:marBottom w:val="0"/>
                                                  <w:divBdr>
                                                    <w:top w:val="single" w:sz="6" w:space="0" w:color="EEEEEE"/>
                                                    <w:left w:val="none" w:sz="0" w:space="0" w:color="auto"/>
                                                    <w:bottom w:val="single" w:sz="6" w:space="0" w:color="EEEEEE"/>
                                                    <w:right w:val="single" w:sz="6" w:space="0" w:color="EEEEEE"/>
                                                  </w:divBdr>
                                                  <w:divsChild>
                                                    <w:div w:id="95402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9690162">
      <w:bodyDiv w:val="1"/>
      <w:marLeft w:val="0"/>
      <w:marRight w:val="0"/>
      <w:marTop w:val="0"/>
      <w:marBottom w:val="0"/>
      <w:divBdr>
        <w:top w:val="none" w:sz="0" w:space="0" w:color="auto"/>
        <w:left w:val="none" w:sz="0" w:space="0" w:color="auto"/>
        <w:bottom w:val="none" w:sz="0" w:space="0" w:color="auto"/>
        <w:right w:val="none" w:sz="0" w:space="0" w:color="auto"/>
      </w:divBdr>
      <w:divsChild>
        <w:div w:id="1919360291">
          <w:marLeft w:val="0"/>
          <w:marRight w:val="0"/>
          <w:marTop w:val="0"/>
          <w:marBottom w:val="0"/>
          <w:divBdr>
            <w:top w:val="none" w:sz="0" w:space="0" w:color="auto"/>
            <w:left w:val="none" w:sz="0" w:space="0" w:color="auto"/>
            <w:bottom w:val="none" w:sz="0" w:space="0" w:color="auto"/>
            <w:right w:val="none" w:sz="0" w:space="0" w:color="auto"/>
          </w:divBdr>
          <w:divsChild>
            <w:div w:id="650984872">
              <w:marLeft w:val="0"/>
              <w:marRight w:val="0"/>
              <w:marTop w:val="0"/>
              <w:marBottom w:val="0"/>
              <w:divBdr>
                <w:top w:val="none" w:sz="0" w:space="0" w:color="auto"/>
                <w:left w:val="none" w:sz="0" w:space="0" w:color="auto"/>
                <w:bottom w:val="none" w:sz="0" w:space="0" w:color="auto"/>
                <w:right w:val="none" w:sz="0" w:space="0" w:color="auto"/>
              </w:divBdr>
              <w:divsChild>
                <w:div w:id="1924408530">
                  <w:marLeft w:val="0"/>
                  <w:marRight w:val="0"/>
                  <w:marTop w:val="0"/>
                  <w:marBottom w:val="0"/>
                  <w:divBdr>
                    <w:top w:val="none" w:sz="0" w:space="0" w:color="auto"/>
                    <w:left w:val="none" w:sz="0" w:space="0" w:color="auto"/>
                    <w:bottom w:val="none" w:sz="0" w:space="0" w:color="auto"/>
                    <w:right w:val="none" w:sz="0" w:space="0" w:color="auto"/>
                  </w:divBdr>
                  <w:divsChild>
                    <w:div w:id="261841870">
                      <w:marLeft w:val="0"/>
                      <w:marRight w:val="0"/>
                      <w:marTop w:val="0"/>
                      <w:marBottom w:val="0"/>
                      <w:divBdr>
                        <w:top w:val="none" w:sz="0" w:space="0" w:color="auto"/>
                        <w:left w:val="none" w:sz="0" w:space="0" w:color="auto"/>
                        <w:bottom w:val="none" w:sz="0" w:space="0" w:color="auto"/>
                        <w:right w:val="none" w:sz="0" w:space="0" w:color="auto"/>
                      </w:divBdr>
                      <w:divsChild>
                        <w:div w:id="605164189">
                          <w:marLeft w:val="0"/>
                          <w:marRight w:val="0"/>
                          <w:marTop w:val="0"/>
                          <w:marBottom w:val="900"/>
                          <w:divBdr>
                            <w:top w:val="none" w:sz="0" w:space="0" w:color="auto"/>
                            <w:left w:val="none" w:sz="0" w:space="0" w:color="auto"/>
                            <w:bottom w:val="none" w:sz="0" w:space="0" w:color="auto"/>
                            <w:right w:val="none" w:sz="0" w:space="0" w:color="auto"/>
                          </w:divBdr>
                          <w:divsChild>
                            <w:div w:id="18943925">
                              <w:marLeft w:val="0"/>
                              <w:marRight w:val="0"/>
                              <w:marTop w:val="0"/>
                              <w:marBottom w:val="0"/>
                              <w:divBdr>
                                <w:top w:val="none" w:sz="0" w:space="0" w:color="auto"/>
                                <w:left w:val="none" w:sz="0" w:space="0" w:color="auto"/>
                                <w:bottom w:val="none" w:sz="0" w:space="0" w:color="auto"/>
                                <w:right w:val="none" w:sz="0" w:space="0" w:color="auto"/>
                              </w:divBdr>
                              <w:divsChild>
                                <w:div w:id="1455707128">
                                  <w:marLeft w:val="0"/>
                                  <w:marRight w:val="0"/>
                                  <w:marTop w:val="0"/>
                                  <w:marBottom w:val="0"/>
                                  <w:divBdr>
                                    <w:top w:val="none" w:sz="0" w:space="0" w:color="auto"/>
                                    <w:left w:val="none" w:sz="0" w:space="0" w:color="auto"/>
                                    <w:bottom w:val="none" w:sz="0" w:space="0" w:color="auto"/>
                                    <w:right w:val="none" w:sz="0" w:space="0" w:color="auto"/>
                                  </w:divBdr>
                                  <w:divsChild>
                                    <w:div w:id="844512719">
                                      <w:marLeft w:val="0"/>
                                      <w:marRight w:val="0"/>
                                      <w:marTop w:val="0"/>
                                      <w:marBottom w:val="0"/>
                                      <w:divBdr>
                                        <w:top w:val="none" w:sz="0" w:space="0" w:color="auto"/>
                                        <w:left w:val="none" w:sz="0" w:space="0" w:color="auto"/>
                                        <w:bottom w:val="none" w:sz="0" w:space="0" w:color="auto"/>
                                        <w:right w:val="none" w:sz="0" w:space="0" w:color="auto"/>
                                      </w:divBdr>
                                      <w:divsChild>
                                        <w:div w:id="448015221">
                                          <w:marLeft w:val="0"/>
                                          <w:marRight w:val="0"/>
                                          <w:marTop w:val="0"/>
                                          <w:marBottom w:val="0"/>
                                          <w:divBdr>
                                            <w:top w:val="none" w:sz="0" w:space="0" w:color="auto"/>
                                            <w:left w:val="none" w:sz="0" w:space="0" w:color="auto"/>
                                            <w:bottom w:val="none" w:sz="0" w:space="0" w:color="auto"/>
                                            <w:right w:val="none" w:sz="0" w:space="0" w:color="auto"/>
                                          </w:divBdr>
                                          <w:divsChild>
                                            <w:div w:id="100418986">
                                              <w:marLeft w:val="0"/>
                                              <w:marRight w:val="0"/>
                                              <w:marTop w:val="0"/>
                                              <w:marBottom w:val="0"/>
                                              <w:divBdr>
                                                <w:top w:val="none" w:sz="0" w:space="0" w:color="auto"/>
                                                <w:left w:val="none" w:sz="0" w:space="0" w:color="auto"/>
                                                <w:bottom w:val="none" w:sz="0" w:space="0" w:color="auto"/>
                                                <w:right w:val="none" w:sz="0" w:space="0" w:color="auto"/>
                                              </w:divBdr>
                                              <w:divsChild>
                                                <w:div w:id="35354015">
                                                  <w:marLeft w:val="0"/>
                                                  <w:marRight w:val="0"/>
                                                  <w:marTop w:val="0"/>
                                                  <w:marBottom w:val="0"/>
                                                  <w:divBdr>
                                                    <w:top w:val="single" w:sz="6" w:space="0" w:color="EEEEEE"/>
                                                    <w:left w:val="none" w:sz="0" w:space="0" w:color="auto"/>
                                                    <w:bottom w:val="single" w:sz="6" w:space="0" w:color="EEEEEE"/>
                                                    <w:right w:val="single" w:sz="6" w:space="0" w:color="EEEEEE"/>
                                                  </w:divBdr>
                                                  <w:divsChild>
                                                    <w:div w:id="188305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rb.mofcom.gov.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trb.mofcom.gov.cn" TargetMode="External"/><Relationship Id="rId4" Type="http://schemas.openxmlformats.org/officeDocument/2006/relationships/webSettings" Target="webSettings.xml"/><Relationship Id="rId9" Type="http://schemas.openxmlformats.org/officeDocument/2006/relationships/hyperlink" Target="https://etrb.mofcom.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[COURTESY TRANSLATION]</vt:lpstr>
    </vt:vector>
  </TitlesOfParts>
  <Company>European Commission</Company>
  <LinksUpToDate>false</LinksUpToDate>
  <CharactersWithSpaces>11233</CharactersWithSpaces>
  <SharedDoc>false</SharedDoc>
  <HLinks>
    <vt:vector size="18" baseType="variant">
      <vt:variant>
        <vt:i4>5767238</vt:i4>
      </vt:variant>
      <vt:variant>
        <vt:i4>6</vt:i4>
      </vt:variant>
      <vt:variant>
        <vt:i4>0</vt:i4>
      </vt:variant>
      <vt:variant>
        <vt:i4>5</vt:i4>
      </vt:variant>
      <vt:variant>
        <vt:lpwstr>http://trb.mofcom.gov.cn/</vt:lpwstr>
      </vt:variant>
      <vt:variant>
        <vt:lpwstr/>
      </vt:variant>
      <vt:variant>
        <vt:i4>6422634</vt:i4>
      </vt:variant>
      <vt:variant>
        <vt:i4>3</vt:i4>
      </vt:variant>
      <vt:variant>
        <vt:i4>0</vt:i4>
      </vt:variant>
      <vt:variant>
        <vt:i4>5</vt:i4>
      </vt:variant>
      <vt:variant>
        <vt:lpwstr>https://etrb.mofcom.gov.cn/</vt:lpwstr>
      </vt:variant>
      <vt:variant>
        <vt:lpwstr/>
      </vt:variant>
      <vt:variant>
        <vt:i4>6422634</vt:i4>
      </vt:variant>
      <vt:variant>
        <vt:i4>0</vt:i4>
      </vt:variant>
      <vt:variant>
        <vt:i4>0</vt:i4>
      </vt:variant>
      <vt:variant>
        <vt:i4>5</vt:i4>
      </vt:variant>
      <vt:variant>
        <vt:lpwstr>https://etrb.mofcom.gov.cn/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[COURTESY TRANSLATION]</dc:title>
  <dc:subject/>
  <dc:creator>liuqili</dc:creator>
  <cp:keywords/>
  <cp:lastModifiedBy>LQ</cp:lastModifiedBy>
  <cp:revision>2</cp:revision>
  <cp:lastPrinted>2014-07-24T08:31:00Z</cp:lastPrinted>
  <dcterms:created xsi:type="dcterms:W3CDTF">2024-09-05T08:58:00Z</dcterms:created>
  <dcterms:modified xsi:type="dcterms:W3CDTF">2024-09-05T08:58:00Z</dcterms:modified>
</cp:coreProperties>
</file>