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D" w:rsidRPr="00007DFD" w:rsidRDefault="00007DFD" w:rsidP="00007DFD">
      <w:pPr>
        <w:spacing w:after="0" w:line="240" w:lineRule="auto"/>
        <w:jc w:val="center"/>
        <w:rPr>
          <w:rFonts w:ascii="Microsoft YaHei" w:eastAsia="Microsoft YaHei" w:hAnsi="Microsoft YaHei" w:cs="Times New Roman"/>
          <w:b/>
          <w:bCs/>
          <w:color w:val="262626"/>
          <w:sz w:val="24"/>
          <w:szCs w:val="24"/>
        </w:rPr>
      </w:pPr>
      <w:r w:rsidRPr="00007DFD">
        <w:rPr>
          <w:rFonts w:ascii="Microsoft YaHei" w:eastAsia="Microsoft YaHei" w:hAnsi="Microsoft YaHei" w:cs="Times New Roman" w:hint="eastAsia"/>
          <w:b/>
          <w:bCs/>
          <w:color w:val="262626"/>
          <w:sz w:val="24"/>
          <w:szCs w:val="24"/>
        </w:rPr>
        <w:t>商务部公告2024年第36号 关于对原产于美国、欧盟、韩国、日本和泰国的进口苯酚所适用的反倾销措施发起期终复审调查的公告</w:t>
      </w:r>
    </w:p>
    <w:p w:rsidR="00007DFD" w:rsidRDefault="00007DFD" w:rsidP="00007DFD">
      <w:pPr>
        <w:snapToGrid w:val="0"/>
        <w:spacing w:after="0" w:line="240" w:lineRule="auto"/>
        <w:rPr>
          <w:rFonts w:ascii="Microsoft YaHei" w:eastAsia="Microsoft YaHei" w:hAnsi="Microsoft YaHei" w:cs="Times New Roman"/>
          <w:color w:val="262626"/>
          <w:sz w:val="24"/>
          <w:szCs w:val="24"/>
        </w:rPr>
      </w:pPr>
    </w:p>
    <w:p w:rsidR="00007DFD" w:rsidRDefault="00007DFD" w:rsidP="00007DFD">
      <w:pPr>
        <w:snapToGrid w:val="0"/>
        <w:spacing w:after="0" w:line="240" w:lineRule="auto"/>
        <w:rPr>
          <w:rFonts w:ascii="Microsoft YaHei" w:eastAsia="Microsoft YaHei" w:hAnsi="Microsoft YaHei" w:cs="Times New Roman"/>
          <w:color w:val="262626"/>
          <w:sz w:val="24"/>
          <w:szCs w:val="24"/>
        </w:rPr>
      </w:pPr>
      <w:hyperlink r:id="rId4" w:history="1">
        <w:r w:rsidRPr="0064368B">
          <w:rPr>
            <w:rStyle w:val="Hyperlink"/>
            <w:rFonts w:ascii="Microsoft YaHei" w:eastAsia="Microsoft YaHei" w:hAnsi="Microsoft YaHei" w:cs="Times New Roman"/>
            <w:sz w:val="24"/>
            <w:szCs w:val="24"/>
          </w:rPr>
          <w:t>https://www.mofcom.gov.cn/zwgk/zcfb/art/2024/art_53e2087987c14c22bb990353fe3c5fe0.html</w:t>
        </w:r>
      </w:hyperlink>
    </w:p>
    <w:p w:rsidR="00007DFD" w:rsidRDefault="00007DFD" w:rsidP="00007DFD">
      <w:pPr>
        <w:snapToGrid w:val="0"/>
        <w:spacing w:after="0" w:line="240" w:lineRule="auto"/>
        <w:rPr>
          <w:rFonts w:ascii="Microsoft YaHei" w:eastAsia="Microsoft YaHei" w:hAnsi="Microsoft YaHei" w:cs="Times New Roman"/>
          <w:color w:val="262626"/>
          <w:sz w:val="24"/>
          <w:szCs w:val="24"/>
        </w:rPr>
      </w:pPr>
      <w:bookmarkStart w:id="0" w:name="_GoBack"/>
      <w:bookmarkEnd w:id="0"/>
    </w:p>
    <w:p w:rsidR="00007DFD" w:rsidRPr="00007DFD" w:rsidRDefault="00007DFD" w:rsidP="00007DFD">
      <w:pPr>
        <w:snapToGrid w:val="0"/>
        <w:spacing w:after="0" w:line="240" w:lineRule="auto"/>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【发布单位】贸易救济局</w:t>
      </w:r>
      <w:r w:rsidRPr="00007DFD">
        <w:rPr>
          <w:rFonts w:ascii="Microsoft YaHei" w:eastAsia="Microsoft YaHei" w:hAnsi="Microsoft YaHei" w:cs="Times New Roman" w:hint="eastAsia"/>
          <w:color w:val="262626"/>
          <w:sz w:val="24"/>
          <w:szCs w:val="24"/>
        </w:rPr>
        <w:br/>
        <w:t>【发布文号】商务部公告2024年第36号</w:t>
      </w:r>
      <w:r w:rsidRPr="00007DFD">
        <w:rPr>
          <w:rFonts w:ascii="Microsoft YaHei" w:eastAsia="Microsoft YaHei" w:hAnsi="Microsoft YaHei" w:cs="Times New Roman" w:hint="eastAsia"/>
          <w:color w:val="262626"/>
          <w:sz w:val="24"/>
          <w:szCs w:val="24"/>
        </w:rPr>
        <w:br/>
        <w:t>【发文日期】2024年09月05日</w:t>
      </w:r>
      <w:r w:rsidRPr="00007DFD">
        <w:rPr>
          <w:rFonts w:ascii="Microsoft YaHei" w:eastAsia="Microsoft YaHei" w:hAnsi="Microsoft YaHei" w:cs="Times New Roman" w:hint="eastAsia"/>
          <w:color w:val="262626"/>
          <w:sz w:val="24"/>
          <w:szCs w:val="24"/>
        </w:rPr>
        <w:br/>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2019年9月3日，商务部发布2019年第37号公告，决定自2019年9月6日起，对原产于美国、欧盟、韩国、日本和泰国进口苯酚征收反倾销税，反倾销税率分别为美国公司244.3%—287.2%，欧盟公司30.4%，韩国公司12.5%—23.7%，日本公司19.3%—27.0%，泰国公司10.6%—28.6%，实施期限为5年。2023年4月，商务部发布2023年第15号公告，决定由泰国国家石油全球化学股份有限公司继承PTT苯酚有限公司在苯酚反倾销措施中所适用的税率及其他权利义务。</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根据商务部2021年第3号公告，2020年12月31日英国脱欧过渡期结束后，之前已对欧盟实施的贸易救济措施继续适用于欧盟和英国，实施期限不变；该日期后对欧盟新发起的贸易救济调查及复审案件，不再将英国作为欧盟成员国处理。</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2024年6月19日，</w:t>
      </w:r>
      <w:proofErr w:type="gramStart"/>
      <w:r w:rsidRPr="00007DFD">
        <w:rPr>
          <w:rFonts w:ascii="Microsoft YaHei" w:eastAsia="Microsoft YaHei" w:hAnsi="Microsoft YaHei" w:cs="Times New Roman" w:hint="eastAsia"/>
          <w:color w:val="262626"/>
          <w:sz w:val="24"/>
          <w:szCs w:val="24"/>
        </w:rPr>
        <w:t>商务部收到中国石油化工股份有限公司北京燕山分公司等9家申请企业和中沙(</w:t>
      </w:r>
      <w:proofErr w:type="gramEnd"/>
      <w:r w:rsidRPr="00007DFD">
        <w:rPr>
          <w:rFonts w:ascii="Microsoft YaHei" w:eastAsia="Microsoft YaHei" w:hAnsi="Microsoft YaHei" w:cs="Times New Roman" w:hint="eastAsia"/>
          <w:color w:val="262626"/>
          <w:sz w:val="24"/>
          <w:szCs w:val="24"/>
        </w:rPr>
        <w:t>天津)石化有限公司等3家支持申请企业代表国内苯酚产业提交的反倾销措施期终复审申请书。申请人主张，如果终止反倾销措施，原产于美国、欧盟、韩国、日本和泰国的进口苯酚对中国的倾销可能继续或再度发生，对中国产业造成的损害可能继续或再度发生，请求商务部对原产于美国、欧盟、韩国、日本和泰国的进口苯酚进行期终复审调查，并维持对原产于美国、欧盟、韩国、日本和泰国的进口苯酚实施的反倾销措施。申请人未对原产于英国的进口苯酚所适用的反倾销措施提出期终复审申请。</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根据《中华人民共和国反倾销条例》有关规定，商务部对申请人资格、被调查产品和中国同类产品有关情况、反倾销措施实施期间被调查产品进口情况、倾销继续或再度发生的可能性、损害继续或再度发生的可能性及相关证据等进行了审查。现有证据表明，申请人符合《中华人民共和国反倾销条例》第十一条、第十三条和第十七条关于产业及产业代表性的规定，有资格代表中国苯酚产业提出申请。调查机关认为，申请人的主张以及所提交的表面证据符合期终复审立案的要求。</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lastRenderedPageBreak/>
        <w:t>根据《中华人民共和国反倾销条例》第四十八条规定，商务部决定自2024年9月6日起，对原产于美国、欧盟、韩国、日本和泰国的进口苯酚所适用的反倾销措施进行期终复审调查。现将有关事项公告如下：</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一、继续实施反倾销措施</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根据商务部建议，国务院关税税则委员会决定，在反倾销措施期终复审调查期间，对原产于美国、欧盟、韩国、日本和泰国的进口苯酚继续按照商务部2019年第37号公告和2023年第15号公告公布的征税产品范围和税率征收反倾销税。自2024年9月6日起，对原产于英国的进口苯酚所适用的反倾销措施到期终止。</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对各公司征收的反倾销税税率如下：</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美国公司：</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1. 英力士美国公司 287.2%</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w:t>
      </w:r>
      <w:proofErr w:type="spellStart"/>
      <w:r w:rsidRPr="00007DFD">
        <w:rPr>
          <w:rFonts w:ascii="Microsoft YaHei" w:eastAsia="Microsoft YaHei" w:hAnsi="Microsoft YaHei" w:cs="Times New Roman" w:hint="eastAsia"/>
          <w:color w:val="262626"/>
          <w:sz w:val="24"/>
          <w:szCs w:val="24"/>
        </w:rPr>
        <w:t>INEOS</w:t>
      </w:r>
      <w:proofErr w:type="spellEnd"/>
      <w:r w:rsidRPr="00007DFD">
        <w:rPr>
          <w:rFonts w:ascii="Microsoft YaHei" w:eastAsia="Microsoft YaHei" w:hAnsi="Microsoft YaHei" w:cs="Times New Roman" w:hint="eastAsia"/>
          <w:color w:val="262626"/>
          <w:sz w:val="24"/>
          <w:szCs w:val="24"/>
        </w:rPr>
        <w:t xml:space="preserve"> Americas LLC）</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 美国兰科运营有限责任公司 244.3%</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（Blue Cube Operations LLC）</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3. 其他美国公司 287.2%</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欧盟公司：</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所有欧盟公司 30.4%</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韩国公司：</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1. 锦湖</w:t>
      </w:r>
      <w:proofErr w:type="spellStart"/>
      <w:r w:rsidRPr="00007DFD">
        <w:rPr>
          <w:rFonts w:ascii="Microsoft YaHei" w:eastAsia="Microsoft YaHei" w:hAnsi="Microsoft YaHei" w:cs="Times New Roman" w:hint="eastAsia"/>
          <w:color w:val="262626"/>
          <w:sz w:val="24"/>
          <w:szCs w:val="24"/>
        </w:rPr>
        <w:t>P&amp;B</w:t>
      </w:r>
      <w:proofErr w:type="spellEnd"/>
      <w:r w:rsidRPr="00007DFD">
        <w:rPr>
          <w:rFonts w:ascii="Microsoft YaHei" w:eastAsia="Microsoft YaHei" w:hAnsi="Microsoft YaHei" w:cs="Times New Roman" w:hint="eastAsia"/>
          <w:color w:val="262626"/>
          <w:sz w:val="24"/>
          <w:szCs w:val="24"/>
        </w:rPr>
        <w:t>化学株式会社 12.5%</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w:t>
      </w:r>
      <w:proofErr w:type="spellStart"/>
      <w:r w:rsidRPr="00007DFD">
        <w:rPr>
          <w:rFonts w:ascii="Microsoft YaHei" w:eastAsia="Microsoft YaHei" w:hAnsi="Microsoft YaHei" w:cs="Times New Roman" w:hint="eastAsia"/>
          <w:color w:val="262626"/>
          <w:sz w:val="24"/>
          <w:szCs w:val="24"/>
        </w:rPr>
        <w:t>KUMHO</w:t>
      </w:r>
      <w:proofErr w:type="spellEnd"/>
      <w:r w:rsidRPr="00007DFD">
        <w:rPr>
          <w:rFonts w:ascii="Microsoft YaHei" w:eastAsia="Microsoft YaHei" w:hAnsi="Microsoft YaHei" w:cs="Times New Roman" w:hint="eastAsia"/>
          <w:color w:val="262626"/>
          <w:sz w:val="24"/>
          <w:szCs w:val="24"/>
        </w:rPr>
        <w:t xml:space="preserve"> </w:t>
      </w:r>
      <w:proofErr w:type="spellStart"/>
      <w:r w:rsidRPr="00007DFD">
        <w:rPr>
          <w:rFonts w:ascii="Microsoft YaHei" w:eastAsia="Microsoft YaHei" w:hAnsi="Microsoft YaHei" w:cs="Times New Roman" w:hint="eastAsia"/>
          <w:color w:val="262626"/>
          <w:sz w:val="24"/>
          <w:szCs w:val="24"/>
        </w:rPr>
        <w:t>P&amp;B</w:t>
      </w:r>
      <w:proofErr w:type="spellEnd"/>
      <w:r w:rsidRPr="00007DFD">
        <w:rPr>
          <w:rFonts w:ascii="Microsoft YaHei" w:eastAsia="Microsoft YaHei" w:hAnsi="Microsoft YaHei" w:cs="Times New Roman" w:hint="eastAsia"/>
          <w:color w:val="262626"/>
          <w:sz w:val="24"/>
          <w:szCs w:val="24"/>
        </w:rPr>
        <w:t xml:space="preserve"> CHEMICALS, INC.）</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 （株）LG化学 12.6%</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 xml:space="preserve">（LG </w:t>
      </w:r>
      <w:proofErr w:type="spellStart"/>
      <w:r w:rsidRPr="00007DFD">
        <w:rPr>
          <w:rFonts w:ascii="Microsoft YaHei" w:eastAsia="Microsoft YaHei" w:hAnsi="Microsoft YaHei" w:cs="Times New Roman" w:hint="eastAsia"/>
          <w:color w:val="262626"/>
          <w:sz w:val="24"/>
          <w:szCs w:val="24"/>
        </w:rPr>
        <w:t>CHEM</w:t>
      </w:r>
      <w:proofErr w:type="spellEnd"/>
      <w:r w:rsidRPr="00007DFD">
        <w:rPr>
          <w:rFonts w:ascii="Microsoft YaHei" w:eastAsia="Microsoft YaHei" w:hAnsi="Microsoft YaHei" w:cs="Times New Roman" w:hint="eastAsia"/>
          <w:color w:val="262626"/>
          <w:sz w:val="24"/>
          <w:szCs w:val="24"/>
        </w:rPr>
        <w:t>, LTD.）</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3. 其他韩国公司 23.7%</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日本公司：</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1. 三井化学株式会社 19.3%</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（Mitsui Chemicals, Inc.）</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 其他日本公司 27.0%</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泰国公司：</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1. 泰国国家石油全球化学股份有限公司 10.6%</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(PTT Global Chemical Public Company Limited）</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 其他泰国公司 28.6%</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二、复审调查期</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lastRenderedPageBreak/>
        <w:t>本次复审的倾销调查期为2023年4月1日至2024年3月31日，产业损害调查期为2020年1月1日至2024年3月31日。</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三、复审调查产品范围</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复审产品范围是原反倾销措施所适用的产品，与商务部2019年第37号公告公布的反倾销措施所适用的产品范围一致，具体如下:</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被调查产品名称：苯酚</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英文名称：Phenol</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化学分子式：C</w:t>
      </w:r>
      <w:r w:rsidRPr="00007DFD">
        <w:rPr>
          <w:rFonts w:ascii="Microsoft YaHei" w:eastAsia="Microsoft YaHei" w:hAnsi="Microsoft YaHei" w:cs="Times New Roman" w:hint="eastAsia"/>
          <w:color w:val="262626"/>
          <w:sz w:val="24"/>
          <w:szCs w:val="24"/>
          <w:bdr w:val="none" w:sz="0" w:space="0" w:color="auto" w:frame="1"/>
          <w:vertAlign w:val="subscript"/>
        </w:rPr>
        <w:t>6</w:t>
      </w:r>
      <w:r w:rsidRPr="00007DFD">
        <w:rPr>
          <w:rFonts w:ascii="Microsoft YaHei" w:eastAsia="Microsoft YaHei" w:hAnsi="Microsoft YaHei" w:cs="Times New Roman" w:hint="eastAsia"/>
          <w:color w:val="262626"/>
          <w:sz w:val="24"/>
          <w:szCs w:val="24"/>
        </w:rPr>
        <w:t>H</w:t>
      </w:r>
      <w:r w:rsidRPr="00007DFD">
        <w:rPr>
          <w:rFonts w:ascii="Microsoft YaHei" w:eastAsia="Microsoft YaHei" w:hAnsi="Microsoft YaHei" w:cs="Times New Roman" w:hint="eastAsia"/>
          <w:color w:val="262626"/>
          <w:sz w:val="24"/>
          <w:szCs w:val="24"/>
          <w:bdr w:val="none" w:sz="0" w:space="0" w:color="auto" w:frame="1"/>
          <w:vertAlign w:val="subscript"/>
        </w:rPr>
        <w:t>5</w:t>
      </w:r>
      <w:r w:rsidRPr="00007DFD">
        <w:rPr>
          <w:rFonts w:ascii="Microsoft YaHei" w:eastAsia="Microsoft YaHei" w:hAnsi="Microsoft YaHei" w:cs="Times New Roman" w:hint="eastAsia"/>
          <w:color w:val="262626"/>
          <w:sz w:val="24"/>
          <w:szCs w:val="24"/>
        </w:rPr>
        <w:t>OH</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化学结构式：</w:t>
      </w:r>
    </w:p>
    <w:p w:rsidR="00007DFD" w:rsidRPr="00007DFD" w:rsidRDefault="00007DFD" w:rsidP="00007DFD">
      <w:pPr>
        <w:spacing w:after="0" w:line="240" w:lineRule="auto"/>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noProof/>
          <w:color w:val="333333"/>
          <w:sz w:val="24"/>
          <w:szCs w:val="24"/>
          <w:bdr w:val="none" w:sz="0" w:space="0" w:color="auto" w:frame="1"/>
        </w:rPr>
        <w:drawing>
          <wp:inline distT="0" distB="0" distL="0" distR="0">
            <wp:extent cx="929640" cy="1021080"/>
            <wp:effectExtent l="0" t="0" r="3810" b="7620"/>
            <wp:docPr id="1" name="Picture 1" descr="https://www.mofcom.gov.cn/cms_files/filemanager/1511035453/picture/20248/57b3a9aa2085433ba74297e0415972f7.pn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ofcom.gov.cn/cms_files/filemanager/1511035453/picture/20248/57b3a9aa2085433ba74297e0415972f7.pn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9640" cy="1021080"/>
                    </a:xfrm>
                    <a:prstGeom prst="rect">
                      <a:avLst/>
                    </a:prstGeom>
                    <a:noFill/>
                    <a:ln>
                      <a:noFill/>
                    </a:ln>
                  </pic:spPr>
                </pic:pic>
              </a:graphicData>
            </a:graphic>
          </wp:inline>
        </w:drawing>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产品描述：苯酚在常温下通常为无色针状或白色块状晶体，溶于酒精、乙醚、氯仿、甘油、二硫化碳，在室温时稍溶于水，几乎不溶于石油醚，腐蚀力强，可燃。</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主要用途：苯酚是重要的有机化工原料，主要用于制备酚醛树脂、双酚A、己内酰胺、烷基酚、水杨酸等工业原料，还可以用作溶剂、试剂和消毒剂，广泛运用于合成纤维、塑料、医药、农药、香料、染料、涂料和炼油工业等领域。</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该产品归在《中华人民共和国进出口税则》：29071110。</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四、复审内容</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本次复审调查的内容为：如果终止对原产于美国、欧盟、韩国、日本和泰国的进口苯酚实施的反倾销措施，是否可能导致倾销和损害继续或再度发生。</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五、登记参加调查</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可于本公告发布之日起20日内，向商务部贸易救济调查局登记参加本次反倾销期终复审调查。参加调查的利害关系方应根据《登记参加调查的参考格式》提供基本身份信息、向中国出口或进口本案被调查产品的数量及金额、生产和销售同类产品的数量及金额以及关联情况等说明材料。《登记参加调查的参考格式》可在商务部网站贸易救济调查局子网站下载。</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利害关系方登记参加本次反倾销调查，应通过“贸易救济调查信息化平台”（https://etrb.mofcom.gov.cn）提交电子版本，并根据商务部的要求，同时提交书面版本。电子版本和书面版本内容应相同，格式应保持一致。</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本公告所称的利害关系方是指《中华人民共和国反倾销条例》第十九条规定的个人和组织。</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lastRenderedPageBreak/>
        <w:t>六、查阅公开信息</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可在商务部网站贸易救济调查局子网站下载或到商务部贸易救济公开信息查阅室（电话：0086-10-65197878）查找、阅览、抄录并复印本案申请人提交的申请书的非保密文本。调查过程中，利害关系方可通过相关网站查询案件公开信息，或到商务部贸易救济公开信息查阅室查找、阅览、抄录并复印案件公开信息。</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七、对立案的评论</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利害关系方对本次调查的产品范围及申请人资格、被调查国家（地区）及其他相关问题如需发表评论，可于本公告发布之日起20天内将书面意见提交至商务部贸易救济调查局。</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八、调查方式</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根据《中华人民共和国反倾销条例》第二十条规定，商务部可以采用问卷、抽样、听证会、现场核查等方式向有关利害关系方了解情况，进行调查。</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为获得本案调查所需要的信息，商务部通常在本公告规定的登记参加调查截止之日起10个工作日内向利害关系方发放调查问卷。利害关系方可以从商务部网站贸易救济调查局子网站下载调查问卷。</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利害关系方应在规定时间内提交完整、准确的答卷。答卷应当包括调查问卷所要求的全部信息。</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九、信息的提交和处理</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在调查过程中提交评论意见、答卷等，应通过“贸易救济调查信息化平台”（https://etrb.mofcom.gov.cn）提交电子版本，并根据商务部的要求，同时提交书面版本。电子版本和书面版本内容应相同，格式应保持一致。</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利害关系方向商务部提交的信息如需保密的，可向商务部提出对相关信息进行保密处理的请求并说明理由。如商务部同意其请求，申请保密的利害关系方应同时提供该保密信息的非保密概要。非保密概要应当包含充分的有意义的信息，以使其他利害关系方对保密信息能有合理理解。如不能提供非保密概要，应说明理由。如利害关系方提交的信息未说明需要保密的，商务部将视该信息为公开信息。</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十、不合作的后果</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根据《中华人民共和国反倾销条例》第二十一条规定，商务部进行调查时，利害关系方应当如实反映情况，提供有关资料。利害关系方不如实反映情况、提供有关资料的，或者没有在合理时间内提供必要信息的，或者以其他方式严重妨碍调查的，商务部可以根据已经获得的事实和可获得的最佳信息作出裁定。</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十一、调查期限</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lastRenderedPageBreak/>
        <w:t>本次调查自2024年9月6日开始，应于2025年9月6日前（不含本日）结束。</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十二、商务部联系方式</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地址：中国北京市东长安街2号</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邮编：100731</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商务部贸易救济调查局 进口调查四处</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电话：0086-10-65198194、65198474</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传真：0086-10-65198172</w:t>
      </w:r>
    </w:p>
    <w:p w:rsidR="00007DFD" w:rsidRPr="00007DFD" w:rsidRDefault="00007DFD" w:rsidP="00007DFD">
      <w:pPr>
        <w:spacing w:after="0" w:line="240" w:lineRule="auto"/>
        <w:ind w:firstLine="480"/>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网站：商务部网站贸易救济调查局子网站（http://trb.mofcom.gov.cn）</w:t>
      </w:r>
    </w:p>
    <w:p w:rsidR="00007DFD" w:rsidRPr="00007DFD" w:rsidRDefault="00007DFD" w:rsidP="00007DFD">
      <w:pPr>
        <w:spacing w:after="0" w:line="240" w:lineRule="auto"/>
        <w:ind w:firstLine="480"/>
        <w:jc w:val="right"/>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中华人民共和国商务部</w:t>
      </w:r>
    </w:p>
    <w:p w:rsidR="00007DFD" w:rsidRPr="00007DFD" w:rsidRDefault="00007DFD" w:rsidP="00007DFD">
      <w:pPr>
        <w:spacing w:after="0" w:line="240" w:lineRule="auto"/>
        <w:ind w:firstLine="480"/>
        <w:jc w:val="right"/>
        <w:rPr>
          <w:rFonts w:ascii="Microsoft YaHei" w:eastAsia="Microsoft YaHei" w:hAnsi="Microsoft YaHei" w:cs="Times New Roman" w:hint="eastAsia"/>
          <w:color w:val="262626"/>
          <w:sz w:val="24"/>
          <w:szCs w:val="24"/>
        </w:rPr>
      </w:pPr>
      <w:r w:rsidRPr="00007DFD">
        <w:rPr>
          <w:rFonts w:ascii="Microsoft YaHei" w:eastAsia="Microsoft YaHei" w:hAnsi="Microsoft YaHei" w:cs="Times New Roman" w:hint="eastAsia"/>
          <w:color w:val="262626"/>
          <w:sz w:val="24"/>
          <w:szCs w:val="24"/>
        </w:rPr>
        <w:t>2024年9月5日</w:t>
      </w:r>
    </w:p>
    <w:p w:rsidR="00A6364E" w:rsidRPr="00007DFD" w:rsidRDefault="00A6364E">
      <w:pPr>
        <w:rPr>
          <w:sz w:val="24"/>
          <w:szCs w:val="24"/>
        </w:rPr>
      </w:pPr>
    </w:p>
    <w:sectPr w:rsidR="00A6364E" w:rsidRPr="00007D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B44DD"/>
    <w:rsid w:val="00007DFD"/>
    <w:rsid w:val="001B44DD"/>
    <w:rsid w:val="00A63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4943"/>
  <w15:chartTrackingRefBased/>
  <w15:docId w15:val="{58A87ADD-0E6C-4212-B670-05E4495D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07DF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07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919833">
      <w:bodyDiv w:val="1"/>
      <w:marLeft w:val="0"/>
      <w:marRight w:val="0"/>
      <w:marTop w:val="0"/>
      <w:marBottom w:val="0"/>
      <w:divBdr>
        <w:top w:val="none" w:sz="0" w:space="0" w:color="auto"/>
        <w:left w:val="none" w:sz="0" w:space="0" w:color="auto"/>
        <w:bottom w:val="none" w:sz="0" w:space="0" w:color="auto"/>
        <w:right w:val="none" w:sz="0" w:space="0" w:color="auto"/>
      </w:divBdr>
      <w:divsChild>
        <w:div w:id="93865458">
          <w:marLeft w:val="0"/>
          <w:marRight w:val="0"/>
          <w:marTop w:val="0"/>
          <w:marBottom w:val="0"/>
          <w:divBdr>
            <w:top w:val="none" w:sz="0" w:space="19" w:color="auto"/>
            <w:left w:val="none" w:sz="0" w:space="0" w:color="auto"/>
            <w:bottom w:val="single" w:sz="6" w:space="19" w:color="DCDCDC"/>
            <w:right w:val="none" w:sz="0" w:space="0" w:color="auto"/>
          </w:divBdr>
        </w:div>
        <w:div w:id="168755853">
          <w:marLeft w:val="0"/>
          <w:marRight w:val="0"/>
          <w:marTop w:val="0"/>
          <w:marBottom w:val="0"/>
          <w:divBdr>
            <w:top w:val="none" w:sz="0" w:space="11" w:color="auto"/>
            <w:left w:val="none" w:sz="0" w:space="0" w:color="auto"/>
            <w:bottom w:val="single" w:sz="6" w:space="11" w:color="DCDCDC"/>
            <w:right w:val="none" w:sz="0" w:space="0" w:color="auto"/>
          </w:divBdr>
          <w:divsChild>
            <w:div w:id="1698385445">
              <w:marLeft w:val="0"/>
              <w:marRight w:val="0"/>
              <w:marTop w:val="0"/>
              <w:marBottom w:val="0"/>
              <w:divBdr>
                <w:top w:val="none" w:sz="0" w:space="0" w:color="auto"/>
                <w:left w:val="none" w:sz="0" w:space="0" w:color="auto"/>
                <w:bottom w:val="none" w:sz="0" w:space="0" w:color="auto"/>
                <w:right w:val="none" w:sz="0" w:space="0" w:color="auto"/>
              </w:divBdr>
            </w:div>
          </w:divsChild>
        </w:div>
        <w:div w:id="1555585777">
          <w:marLeft w:val="0"/>
          <w:marRight w:val="0"/>
          <w:marTop w:val="0"/>
          <w:marBottom w:val="0"/>
          <w:divBdr>
            <w:top w:val="none" w:sz="0" w:space="11" w:color="auto"/>
            <w:left w:val="none" w:sz="0" w:space="0" w:color="auto"/>
            <w:bottom w:val="single" w:sz="6" w:space="11" w:color="DCDCD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mofcom.gov.cn/cms_files/filemanager/1511035453/picture/20248/57b3a9aa2085433ba74297e0415972f7.png" TargetMode="External"/><Relationship Id="rId4" Type="http://schemas.openxmlformats.org/officeDocument/2006/relationships/hyperlink" Target="https://www.mofcom.gov.cn/zwgk/zcfb/art/2024/art_53e2087987c14c22bb990353fe3c5fe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553</Words>
  <Characters>3155</Characters>
  <Application>Microsoft Office Word</Application>
  <DocSecurity>0</DocSecurity>
  <Lines>26</Lines>
  <Paragraphs>7</Paragraphs>
  <ScaleCrop>false</ScaleCrop>
  <Company>EEAS</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dc:creator>
  <cp:keywords/>
  <dc:description/>
  <cp:lastModifiedBy>LQ</cp:lastModifiedBy>
  <cp:revision>2</cp:revision>
  <dcterms:created xsi:type="dcterms:W3CDTF">2024-09-05T09:01:00Z</dcterms:created>
  <dcterms:modified xsi:type="dcterms:W3CDTF">2024-09-05T09:02:00Z</dcterms:modified>
</cp:coreProperties>
</file>